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EA5B25" w14:textId="77777777" w:rsidR="00643609" w:rsidRDefault="000651AA">
      <w:pPr>
        <w:keepNext/>
        <w:spacing w:before="120" w:after="120"/>
        <w:jc w:val="center"/>
      </w:pPr>
      <w:bookmarkStart w:id="0" w:name="art1_ini"/>
      <w:bookmarkEnd w:id="0"/>
      <w:r>
        <w:rPr>
          <w:noProof/>
        </w:rPr>
        <w:drawing>
          <wp:inline distT="0" distB="0" distL="0" distR="0" wp14:anchorId="2A07DEE5" wp14:editId="0AFEC4F8">
            <wp:extent cx="5753100" cy="85839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_img0.png"/>
                    <pic:cNvPicPr/>
                  </pic:nvPicPr>
                  <pic:blipFill>
                    <a:blip r:embed="rId8"/>
                    <a:stretch>
                      <a:fillRect/>
                    </a:stretch>
                  </pic:blipFill>
                  <pic:spPr>
                    <a:xfrm>
                      <a:off x="0" y="0"/>
                      <a:ext cx="5753100" cy="858399"/>
                    </a:xfrm>
                    <a:prstGeom prst="rect">
                      <a:avLst/>
                    </a:prstGeom>
                  </pic:spPr>
                </pic:pic>
              </a:graphicData>
            </a:graphic>
          </wp:inline>
        </w:drawing>
      </w:r>
    </w:p>
    <w:p w14:paraId="77B7788C" w14:textId="77777777" w:rsidR="00643609" w:rsidRDefault="000651AA">
      <w:pPr>
        <w:spacing w:before="360" w:after="0" w:line="240" w:lineRule="auto"/>
        <w:jc w:val="center"/>
      </w:pPr>
      <w:r>
        <w:rPr>
          <w:b/>
        </w:rPr>
        <w:t>A CONTRIBUIÇÃO DO CONTADOR PARA A GESTÃO DO MICROEMPREENDEDOR INDIVIDUAL (MEI): EVIDÊNCIAS EMPÍRICAS EM LONDRINA-PR</w:t>
      </w:r>
    </w:p>
    <w:p w14:paraId="54989875" w14:textId="77777777" w:rsidR="00643609" w:rsidRDefault="000651AA">
      <w:pPr>
        <w:spacing w:after="0" w:line="240" w:lineRule="auto"/>
        <w:jc w:val="right"/>
      </w:pPr>
      <w:r>
        <w:t>Ana Júlia Sanches Teixeira</w:t>
      </w:r>
      <w:r>
        <w:rPr>
          <w:vertAlign w:val="superscript"/>
        </w:rPr>
        <w:footnoteReference w:id="1"/>
      </w:r>
    </w:p>
    <w:p w14:paraId="7D1D953F" w14:textId="77777777" w:rsidR="00643609" w:rsidRDefault="000651AA">
      <w:pPr>
        <w:spacing w:after="0" w:line="240" w:lineRule="auto"/>
        <w:jc w:val="right"/>
      </w:pPr>
      <w:r>
        <w:t>Natália Carvalho Leme</w:t>
      </w:r>
      <w:r>
        <w:rPr>
          <w:vertAlign w:val="superscript"/>
        </w:rPr>
        <w:footnoteReference w:id="2"/>
      </w:r>
    </w:p>
    <w:p w14:paraId="72F37C6F" w14:textId="77777777" w:rsidR="00643609" w:rsidRDefault="000651AA">
      <w:pPr>
        <w:spacing w:after="0" w:line="240" w:lineRule="auto"/>
        <w:jc w:val="right"/>
      </w:pPr>
      <w:r>
        <w:t>Alessandra Cristina Soares</w:t>
      </w:r>
      <w:r>
        <w:rPr>
          <w:vertAlign w:val="superscript"/>
        </w:rPr>
        <w:footnoteReference w:id="3"/>
      </w:r>
    </w:p>
    <w:p w14:paraId="01F9938E" w14:textId="77777777" w:rsidR="00643609" w:rsidRDefault="000651AA">
      <w:pPr>
        <w:spacing w:after="0" w:line="240" w:lineRule="auto"/>
        <w:jc w:val="right"/>
      </w:pPr>
      <w:r>
        <w:t>Joseane Debora Peruço Theodoro</w:t>
      </w:r>
      <w:r>
        <w:rPr>
          <w:vertAlign w:val="superscript"/>
        </w:rPr>
        <w:footnoteReference w:id="4"/>
      </w:r>
    </w:p>
    <w:p w14:paraId="5E9E7158" w14:textId="77777777" w:rsidR="00643609" w:rsidRDefault="000651AA">
      <w:pPr>
        <w:spacing w:after="0" w:line="240" w:lineRule="auto"/>
        <w:jc w:val="right"/>
      </w:pPr>
      <w:r>
        <w:t>Keila Alice Roque</w:t>
      </w:r>
      <w:r>
        <w:rPr>
          <w:vertAlign w:val="superscript"/>
        </w:rPr>
        <w:footnoteReference w:id="5"/>
      </w:r>
    </w:p>
    <w:p w14:paraId="7F6F371A" w14:textId="77777777" w:rsidR="00643609" w:rsidRDefault="000651AA">
      <w:pPr>
        <w:keepNext/>
        <w:spacing w:before="360" w:after="240" w:line="240" w:lineRule="auto"/>
      </w:pPr>
      <w:r>
        <w:rPr>
          <w:b/>
        </w:rPr>
        <w:t>RESUMO</w:t>
      </w:r>
    </w:p>
    <w:p w14:paraId="68A1D422" w14:textId="77777777" w:rsidR="00643609" w:rsidRDefault="000651AA">
      <w:pPr>
        <w:spacing w:after="240" w:line="240" w:lineRule="auto"/>
        <w:jc w:val="both"/>
      </w:pPr>
      <w:r>
        <w:t>A Lei Complementar nº 128/2008 instituiu o conceito de Microempreendedor Individual (MEI) no Brasil, criando uma categoria de empreendedor com regime simplificado de tributação e obrigações. Apesar das vantagens legais, a gestão do MEI exige o cumpr</w:t>
      </w:r>
      <w:r>
        <w:t>imento de obrigações contábeis e fiscais específicas, que impactam diretamente a condução do negócio. Este estudo tem como objetivo investigar de que maneira a atuação do contador contribui para auxiliar os MEIs, a partir do levantamento de dados da plataf</w:t>
      </w:r>
      <w:r>
        <w:t>orma MaisMei, através da aplicação de questionários, aplicados online, via Google Forms, junto a MEIs do município de Londrina/PR. Um total de 300 questionários foram enviados, dos quais 79 retornaram válidos, resultando em uma taxa de resposta válida de 2</w:t>
      </w:r>
      <w:r>
        <w:t>6,33%. Os resultados evidenciaram predominância feminina entre os participantes (60,3%), com maior concentração na faixa etária de 31 a 40 anos (30,4%). A maioria possui, no mínimo, ensino médio completo, e parte significativa busca formação superior. Em r</w:t>
      </w:r>
      <w:r>
        <w:t>elação à utilização dos serviços contábeis, 57% recorrem ao apoio de um contador, principalmente para a Declaração Anual do MEI (DASN-SIMEI), abertura de empresas e emissão do DAS, enquanto 43% optam por gerir seus negócios de forma independente. Quanto ao</w:t>
      </w:r>
      <w:r>
        <w:t xml:space="preserve"> grau de satisfação, a maior parte avaliou o atendimento como excelente ou bom, e 71,4% afirmaram que o contador contribui diretamente para a organização financeira do negócio. Ainda assim, 15,79% destacaram a necessidade de uma comunicação mais clara e co</w:t>
      </w:r>
      <w:r>
        <w:t xml:space="preserve">nstante por parte dos profissionais contábeis. Conclui-se que a atuação do contador impacta de forma significativa a gestão do MEI, no tocante a segurança, organização e regularidade fiscal. Contudo, o estudo também encontrou oportunidades de melhorias, </w:t>
      </w:r>
      <w:r>
        <w:lastRenderedPageBreak/>
        <w:t>es</w:t>
      </w:r>
      <w:r>
        <w:t>pecialmente no sentido de ampliar a comunicação e oferecer um serviço mais consultivo e capaz de fortalecer a tomada de decisões.</w:t>
      </w:r>
    </w:p>
    <w:p w14:paraId="23540793" w14:textId="77777777" w:rsidR="00643609" w:rsidRDefault="000651AA">
      <w:pPr>
        <w:spacing w:before="240" w:after="240" w:line="240" w:lineRule="auto"/>
        <w:jc w:val="both"/>
      </w:pPr>
      <w:r>
        <w:rPr>
          <w:b/>
        </w:rPr>
        <w:t>Palavras-chave:</w:t>
      </w:r>
      <w:r>
        <w:t xml:space="preserve"> Contabilidade para MEI; Contador; Microempreendedor Individual (MEI); Serviços Contábeis; Tomada de Decisão.</w:t>
      </w:r>
    </w:p>
    <w:p w14:paraId="69B36978" w14:textId="77777777" w:rsidR="00643609" w:rsidRDefault="000651AA">
      <w:pPr>
        <w:keepNext/>
        <w:spacing w:before="360" w:after="240" w:line="240" w:lineRule="auto"/>
      </w:pPr>
      <w:r>
        <w:rPr>
          <w:b/>
        </w:rPr>
        <w:t>A</w:t>
      </w:r>
      <w:r>
        <w:rPr>
          <w:b/>
        </w:rPr>
        <w:t>BSTRACT</w:t>
      </w:r>
    </w:p>
    <w:p w14:paraId="22E1FCFC" w14:textId="77777777" w:rsidR="00643609" w:rsidRDefault="000651AA">
      <w:pPr>
        <w:spacing w:after="240" w:line="240" w:lineRule="auto"/>
        <w:jc w:val="both"/>
      </w:pPr>
      <w:r>
        <w:t>Complementary Law No. 128/2008 established the concept of the Individual Microentrepreneur (MEI) in Brazil, creating a category of entrepreneur subject to a simplified system of taxation and legal obligations. Despite these legal advantages, MEI ma</w:t>
      </w:r>
      <w:r>
        <w:t>nagement requires compliance with specific accounting and tax obligations that directly affect business operations. This study aims to investigate how accountants contribute to assisting MEIs, based on data obtained from the MaisMei platform and questionna</w:t>
      </w:r>
      <w:r>
        <w:t>ires administered online via Google Forms to MEIs in the municipality of Londrina, Paraná, Brazil. A total of 300 questionnaires were sent, of which 79 were considered valid, resulting in a valid response rate of 26.33%. The results showed a predominance o</w:t>
      </w:r>
      <w:r>
        <w:t>f women among the participants (60.3%), with the largest proportion aged between 31 and 40 years (30.4%). Most participants had completed at least secondary education, and a significant proportion were pursuing higher education. Regarding the use of accoun</w:t>
      </w:r>
      <w:r>
        <w:t>ting services, 57% sought support from an accountant, mainly for submitting the MEI Annual Declaration (DASN-SIMEI), registering their businesses, and issuing the Simples Nacional Collection Document (DAS), while 43% chose to manage their businesses indepe</w:t>
      </w:r>
      <w:r>
        <w:t xml:space="preserve">ndently. Regarding the level of satisfaction, most participants rated the services as excellent or good, and 71.4% stated that accountants directly contribute to the financial organization of their businesses. Nevertheless, 15.79% highlighted the need for </w:t>
      </w:r>
      <w:r>
        <w:t>clearer and more consistent communication from accounting professionals. It is concluded that accountants have a significant impact on MEI management by contributing to security, organization, and tax compliance. However, the study also identified opportun</w:t>
      </w:r>
      <w:r>
        <w:t>ities for improvement, particularly by enhancing communication and offering more advisory-oriented services capable of strengthening decision-making.</w:t>
      </w:r>
    </w:p>
    <w:p w14:paraId="52B30199" w14:textId="77777777" w:rsidR="00643609" w:rsidRDefault="000651AA">
      <w:pPr>
        <w:spacing w:before="240" w:after="240" w:line="240" w:lineRule="auto"/>
        <w:jc w:val="both"/>
      </w:pPr>
      <w:r>
        <w:rPr>
          <w:b/>
        </w:rPr>
        <w:t>Keywords:</w:t>
      </w:r>
      <w:r>
        <w:t xml:space="preserve"> Individual microentrepreneur (MEI); accounting for MEI; accounting services; accountant; decisio</w:t>
      </w:r>
      <w:r>
        <w:t>n-making.</w:t>
      </w:r>
    </w:p>
    <w:p w14:paraId="3851314F" w14:textId="77777777" w:rsidR="00643609" w:rsidRDefault="000651AA">
      <w:pPr>
        <w:keepNext/>
        <w:spacing w:before="360" w:after="240" w:line="360" w:lineRule="auto"/>
      </w:pPr>
      <w:r>
        <w:rPr>
          <w:b/>
        </w:rPr>
        <w:t>1 INTRODUÇÃO</w:t>
      </w:r>
    </w:p>
    <w:p w14:paraId="1DDD7EAA" w14:textId="77777777" w:rsidR="00643609" w:rsidRDefault="000651AA">
      <w:pPr>
        <w:spacing w:after="0" w:line="360" w:lineRule="auto"/>
        <w:ind w:firstLine="709"/>
        <w:jc w:val="both"/>
      </w:pPr>
      <w:r>
        <w:t xml:space="preserve">O empreendedorismo tem uma função importante na criação e no crescimento dos negócios, assim como no crescimento e na prosperidade de nações e regiões. Esses resultados em larga escala podem ter princípios um tanto modestos, pois </w:t>
      </w:r>
      <w:r>
        <w:t>as ações empreendedoras começam no ponto em que uma oportunidade lucrativa encontra um indivíduo empreendedor (Hisrich</w:t>
      </w:r>
      <w:r>
        <w:rPr>
          <w:i/>
        </w:rPr>
        <w:t xml:space="preserve"> et al</w:t>
      </w:r>
      <w:r>
        <w:t>. 2014).</w:t>
      </w:r>
    </w:p>
    <w:p w14:paraId="555106DD" w14:textId="77777777" w:rsidR="00643609" w:rsidRDefault="000651AA">
      <w:pPr>
        <w:spacing w:after="0" w:line="360" w:lineRule="auto"/>
        <w:ind w:firstLine="709"/>
        <w:jc w:val="both"/>
      </w:pPr>
      <w:r>
        <w:t xml:space="preserve">Segundo Tajra (2019), na atual sociedade em que vivemos os empreendedores têm obtido cada vez mais destaque, pois promovem </w:t>
      </w:r>
      <w:r>
        <w:t xml:space="preserve">realizações e geram ganhos para toda a comunidade na qual estão inseridas. Cada vez mais as </w:t>
      </w:r>
      <w:r>
        <w:lastRenderedPageBreak/>
        <w:t>empresas buscam pessoas com esse perfil, da mesma forma o país precisa de pessoas que percebam as oportunidades e sejam capazes de implantar inovações.</w:t>
      </w:r>
    </w:p>
    <w:p w14:paraId="20813496" w14:textId="77777777" w:rsidR="00643609" w:rsidRDefault="000651AA">
      <w:pPr>
        <w:spacing w:after="0" w:line="360" w:lineRule="auto"/>
        <w:ind w:firstLine="709"/>
        <w:jc w:val="both"/>
      </w:pPr>
      <w:r>
        <w:t>A Lei Comple</w:t>
      </w:r>
      <w:r>
        <w:t xml:space="preserve">mentar nº 128, de 19 de dezembro de 2008, institui o conceito do Microempreendedor Individual (MEI) no Brasil, criando uma categoria de empreendedor com um regime simplificado de tributação e obrigações. A definição de MEI, conforme a referida legislação, </w:t>
      </w:r>
      <w:r>
        <w:t>é o empresário individual que exerce atividade econômica por conta própria, que se enquadra nos critérios de faturamento e outras condições previstas pela legislação. Esta modalidade de empresa foi criada pelo governo brasileiro, com o objetivo de formaliz</w:t>
      </w:r>
      <w:r>
        <w:t>ar trabalhadores autônomos, é um regime tributário simplificado e desde a sua implementação se tornou uma importante porta de entrada para a formalização de milhares de negócios no Brasil. Nesse contexto, o MEI proporciona uma série de benefícios e facilid</w:t>
      </w:r>
      <w:r>
        <w:t>ades. Com a formalização, muitos profissionais autônomos têm a oportunidade de legalizar seu negócio, ter cobertura previdenciária, redução da carga tributária e emitir notas fiscais. Assim, constitui-se em um modelo acessível e flexível que tem impulsiona</w:t>
      </w:r>
      <w:r>
        <w:t>do o crescimento do empreendedorismo, promovendo a inclusão econômica e social (SEBRAE, 2024).</w:t>
      </w:r>
    </w:p>
    <w:p w14:paraId="17CB3257" w14:textId="77777777" w:rsidR="00643609" w:rsidRDefault="000651AA">
      <w:pPr>
        <w:spacing w:after="0" w:line="360" w:lineRule="auto"/>
        <w:ind w:firstLine="709"/>
        <w:jc w:val="both"/>
      </w:pPr>
      <w:r>
        <w:t>Em Londrina (PR), segundo dados da plataforma MaisMei (2025), há 36.811 registros de Microempreendedores Individuais (MEI) ativos. Situada no estado do Paraná, L</w:t>
      </w:r>
      <w:r>
        <w:t>ondrina possui 575.377 habitantes, sendo que 202.208 desses habitantes são pessoas economicamente ativas, ou seja, que movimentam a economia local e nacional.</w:t>
      </w:r>
    </w:p>
    <w:p w14:paraId="6956F0E5" w14:textId="77777777" w:rsidR="00643609" w:rsidRDefault="000651AA">
      <w:pPr>
        <w:spacing w:after="0" w:line="360" w:lineRule="auto"/>
        <w:ind w:firstLine="709"/>
        <w:jc w:val="both"/>
      </w:pPr>
      <w:r>
        <w:t>De acordo com a pesquisa do SEBRAE (2024), a falta de conhecimentos administrativos constitui o s</w:t>
      </w:r>
      <w:r>
        <w:t>egundo maior desafio enfrentado pelos microempreendedores individuais no brasil, o que reforça a importância de apoio técnico especializado. Nessa perspectiva, Gonçalves (2023) destaca que, no contexto atual, muitos MEIS ainda não reconhecem plenamente a r</w:t>
      </w:r>
      <w:r>
        <w:t>elevância de contar com um contador para a adequada administração de seus negócios.</w:t>
      </w:r>
    </w:p>
    <w:p w14:paraId="4764715C" w14:textId="77777777" w:rsidR="00643609" w:rsidRDefault="000651AA">
      <w:pPr>
        <w:spacing w:after="0" w:line="360" w:lineRule="auto"/>
        <w:ind w:firstLine="709"/>
        <w:jc w:val="both"/>
      </w:pPr>
      <w:r>
        <w:t>Estudos anteriores também investigaram a relação entre o Microempreendedor Individual e os serviços contábeis. Bergamo e Pereira (2022), em pesquisa realizada com MEIs e co</w:t>
      </w:r>
      <w:r>
        <w:t>ntadores do setor de comércio de Gramado-RS, identificaram que a contribuição do contador envolve o registro do empreendimento, a elaboração das declarações obrigatórias, a regularização de pendências, a contratação de funcionários e o apoio à gestão admin</w:t>
      </w:r>
      <w:r>
        <w:t xml:space="preserve">istrativa e </w:t>
      </w:r>
      <w:r>
        <w:lastRenderedPageBreak/>
        <w:t>financeira. Andrade e Silva (2021), ao investigarem 92 MEIs do comércio de São Mateus-ES, constataram que esses empreendedores necessitam de auxílio desde a abertura do negócio, de forma a reduzir as dificuldades relacionadas à sua condução e s</w:t>
      </w:r>
      <w:r>
        <w:t>ustentabilidade. Souto e Petri (2023), por sua vez, discutiram a atuação do contador como aliada do microempreendedor individual diante dos desafios administrativos, financeiros e tributários inerentes à gestão do negócio.</w:t>
      </w:r>
    </w:p>
    <w:p w14:paraId="735DAD09" w14:textId="77777777" w:rsidR="00643609" w:rsidRDefault="000651AA">
      <w:pPr>
        <w:spacing w:after="0" w:line="360" w:lineRule="auto"/>
        <w:ind w:firstLine="709"/>
        <w:jc w:val="both"/>
      </w:pPr>
      <w:r>
        <w:t>Embora esses estudos demonstrem a</w:t>
      </w:r>
      <w:r>
        <w:t xml:space="preserve"> relevância do contador para o Microempreendedor Individual, ainda se mostra pertinente analisar essa relação em diferentes contextos locais, considerando conjuntamente o perfil dos empreendedores, a utilização dos serviços contábeis, suas principais final</w:t>
      </w:r>
      <w:r>
        <w:t>idades e o grau de satisfação dos usuários. Nesse sentido, a presente pesquisa retoma e complementa os estudos anteriores ao analisar a percepção de MEIs de diferentes setores de atuação no município de Londrina-PR.</w:t>
      </w:r>
    </w:p>
    <w:p w14:paraId="6BC43192" w14:textId="77777777" w:rsidR="00643609" w:rsidRDefault="000651AA">
      <w:pPr>
        <w:spacing w:after="0" w:line="360" w:lineRule="auto"/>
        <w:ind w:firstLine="709"/>
        <w:jc w:val="both"/>
      </w:pPr>
      <w:r>
        <w:t>Diante desse cenário, este estudo tem co</w:t>
      </w:r>
      <w:r>
        <w:t>mo objetivo investigar como a atuação do contador contribui para auxiliar os Microempreendedores Individuais (MEIs). Para alcançar esse propósito, são objetivos específicos: levantar o perfil socioeconômico dos MEIs envolvidos no estudo; identificar a util</w:t>
      </w:r>
      <w:r>
        <w:t>ização dos serviços contábeis e as principais áreas de aplicação; e avaliar o grau de satisfação com os serviços contábeis prestados.</w:t>
      </w:r>
    </w:p>
    <w:p w14:paraId="60AE9F41" w14:textId="77777777" w:rsidR="00643609" w:rsidRDefault="000651AA">
      <w:pPr>
        <w:spacing w:after="0" w:line="360" w:lineRule="auto"/>
        <w:ind w:firstLine="709"/>
        <w:jc w:val="both"/>
      </w:pPr>
      <w:r>
        <w:t>O presente estudo levanta a seguinte questão: Diante das dificuldades enfrentadas por microempreendedores individuais na g</w:t>
      </w:r>
      <w:r>
        <w:t>estão de seus negócios, de que maneira a atuação do contador contribui para a eficiência financeira e a conformidade legal dos Microempreendedores Individuais (MEIs)?</w:t>
      </w:r>
    </w:p>
    <w:p w14:paraId="26206C23" w14:textId="77777777" w:rsidR="00643609" w:rsidRDefault="000651AA">
      <w:pPr>
        <w:spacing w:after="0" w:line="360" w:lineRule="auto"/>
        <w:ind w:firstLine="709"/>
        <w:jc w:val="both"/>
      </w:pPr>
      <w:r>
        <w:t xml:space="preserve">Assim, a pesquisa se justifica pela importância de garantir a sustentabilidade econômica </w:t>
      </w:r>
      <w:r>
        <w:t>de milhares de pequenos negócios que compõem o MEI, um segmento crucial para o desenvolvimento econômico e social do Brasil. Contribui ao apresentar evidências referentes ao município de Londrina-PR e possibilitar sua comparação com estudos realizados em o</w:t>
      </w:r>
      <w:r>
        <w:t>utros contextos. Além disso, compreender como o suporte contábil pode auxiliar esses empreendedores é essencial para identificar estratégias que os profissionais da contabilidade podem exercer a fim de minimizem riscos e potencializem resultados das ativid</w:t>
      </w:r>
      <w:r>
        <w:t>ades exercidas pelos MEIs.</w:t>
      </w:r>
    </w:p>
    <w:p w14:paraId="44E1474B" w14:textId="77777777" w:rsidR="00643609" w:rsidRDefault="000651AA">
      <w:pPr>
        <w:keepNext/>
        <w:spacing w:before="360" w:after="240" w:line="360" w:lineRule="auto"/>
      </w:pPr>
      <w:r>
        <w:rPr>
          <w:b/>
        </w:rPr>
        <w:lastRenderedPageBreak/>
        <w:t>2 FUNDAMENTAÇÃO TEÓRICA</w:t>
      </w:r>
    </w:p>
    <w:p w14:paraId="1178D427" w14:textId="77777777" w:rsidR="00643609" w:rsidRDefault="000651AA">
      <w:pPr>
        <w:spacing w:after="0" w:line="360" w:lineRule="auto"/>
        <w:ind w:firstLine="709"/>
        <w:jc w:val="both"/>
      </w:pPr>
      <w:r>
        <w:t>A Contabilidade é o principal instrumento que subsidia os administradores e os gestores a tomar decisões, é uma ciência que se baseia em princípios aplicados a todos os tipos de negócios, buscando apoio em</w:t>
      </w:r>
      <w:r>
        <w:t xml:space="preserve"> diferentes áreas específicas, de forma padronizada (Iudícibus e Marion, 2022).</w:t>
      </w:r>
    </w:p>
    <w:p w14:paraId="636F8FB8" w14:textId="77777777" w:rsidR="00643609" w:rsidRDefault="000651AA">
      <w:pPr>
        <w:spacing w:after="0" w:line="360" w:lineRule="auto"/>
        <w:ind w:firstLine="709"/>
        <w:jc w:val="both"/>
      </w:pPr>
      <w:r>
        <w:t>Iudícibus</w:t>
      </w:r>
      <w:r>
        <w:rPr>
          <w:i/>
        </w:rPr>
        <w:t xml:space="preserve"> et al.</w:t>
      </w:r>
      <w:r>
        <w:t xml:space="preserve"> (2018), declaram que o trabalho do contador tem alcance social em termos amplos, além do estritamente econômico. Afinal, informando à sociedade quão bem (ou ma</w:t>
      </w:r>
      <w:r>
        <w:t>l) certa entidade utiliza os recursos conferidos pelos sócios ou pelo povo, exerce um papel de grande relevância nessa mesma sociedade.</w:t>
      </w:r>
    </w:p>
    <w:p w14:paraId="49E95E7C" w14:textId="77777777" w:rsidR="00643609" w:rsidRDefault="000651AA">
      <w:pPr>
        <w:spacing w:after="0" w:line="360" w:lineRule="auto"/>
        <w:ind w:firstLine="709"/>
        <w:jc w:val="both"/>
      </w:pPr>
      <w:r>
        <w:t>Segundo o Ministério do Empreendedorismo, da Microempresa e da Empresa de Pequeno Porte (Mapa de Empresas, 2024), o Bras</w:t>
      </w:r>
      <w:r>
        <w:t xml:space="preserve">il possuía, no primeiro quadrimestre de 2024, 12.281.582 Microempreendedores Individuais. Criado pela Lei Complementar nº 128/2008 e implementado em 2009, o MEI busca promover a formalização de trabalhadores autônomos por meio de um regime simplificado de </w:t>
      </w:r>
      <w:r>
        <w:t>tributação e de acesso à proteção previdenciária (Butignon, 2021; Portal do Empreendedor, 2025)</w:t>
      </w:r>
    </w:p>
    <w:p w14:paraId="18DA9051" w14:textId="77777777" w:rsidR="00643609" w:rsidRDefault="000651AA">
      <w:pPr>
        <w:spacing w:after="0" w:line="360" w:lineRule="auto"/>
        <w:ind w:firstLine="709"/>
        <w:jc w:val="both"/>
      </w:pPr>
      <w:r>
        <w:t>A formalização possibilita a obtenção de CNPJ, a emissão de notas fiscais, o acesso a melhores condições de crédito, a participação em licitações e a contrataçã</w:t>
      </w:r>
      <w:r>
        <w:t>o de um empregado, além de assegurar benefícios previdenciários. O regime também apresenta carga tributária simplificada, com recolhimento mensal por meio do Documento de Arrecadação do Simples Nacional — DAS (Sebrae, 2024). Apesar dessas facilidades, os p</w:t>
      </w:r>
      <w:r>
        <w:t>equenos empreendedores ainda enfrentam obstáculos relacionados à capacidade empreendedora, ao financiamento, à tributação e à gestão do negócio (Tajra, 2019).</w:t>
      </w:r>
    </w:p>
    <w:p w14:paraId="13DF4207" w14:textId="77777777" w:rsidR="00643609" w:rsidRDefault="000651AA">
      <w:pPr>
        <w:spacing w:after="0" w:line="360" w:lineRule="auto"/>
        <w:ind w:firstLine="709"/>
        <w:jc w:val="both"/>
      </w:pPr>
      <w:r>
        <w:t>Contabilidade pode ser definida como ciência que estuda, interpreta e registra os fenômenos que a</w:t>
      </w:r>
      <w:r>
        <w:t>fetam o patrimônio de uma entidade, e como uma ciência social evolui acompanhando o desenvolvimento da sociedade (Iudícibus e Marion, 2022).</w:t>
      </w:r>
    </w:p>
    <w:p w14:paraId="76F4CEC5" w14:textId="77777777" w:rsidR="00643609" w:rsidRDefault="000651AA">
      <w:pPr>
        <w:spacing w:after="0" w:line="360" w:lineRule="auto"/>
        <w:ind w:firstLine="709"/>
        <w:jc w:val="both"/>
      </w:pPr>
      <w:r>
        <w:t>O objeto da contabilidade é o Patrimônio das entidades econômico-administrativas. Seu objetivo é permitir o estudo,</w:t>
      </w:r>
      <w:r>
        <w:t xml:space="preserve"> o controle e a apuração de resultados diante dos fatos decorrentes da gestão do Patrimônio das entidades econômico-administrativas (Ribeiro, 2018).</w:t>
      </w:r>
    </w:p>
    <w:p w14:paraId="28AD5FAB" w14:textId="77777777" w:rsidR="00643609" w:rsidRDefault="000651AA">
      <w:pPr>
        <w:spacing w:after="0" w:line="360" w:lineRule="auto"/>
        <w:ind w:firstLine="709"/>
        <w:jc w:val="both"/>
      </w:pPr>
      <w:r>
        <w:lastRenderedPageBreak/>
        <w:t xml:space="preserve">Segundo Iudícibus e Marion (2022), todas as movimentações passíveis de mensuração monetária são </w:t>
      </w:r>
      <w:r>
        <w:t>registradas pela Contabilidade, que, em seguida, resume os dados registrados em forma de relatórios e os entrega aos interessados em conhecer a situação da empresa. Esses interessados, através de relatórios contábeis, registram os fatos acontecidos, analis</w:t>
      </w:r>
      <w:r>
        <w:t>am os resultados obtidos, as causas que levaram àqueles resultados e tomam decisões em relação ao futuro. A função de prestar informações é de fundamental importância, porque elas são necessárias ao processo de tomada de decisão feito pelos administradores</w:t>
      </w:r>
      <w:r>
        <w:t xml:space="preserve"> de uma entidade, bem como pelos demais usuários da Contabilidade (Viceconti, 2017).</w:t>
      </w:r>
    </w:p>
    <w:p w14:paraId="1E3BDF97" w14:textId="77777777" w:rsidR="00643609" w:rsidRDefault="000651AA">
      <w:pPr>
        <w:spacing w:after="0" w:line="360" w:lineRule="auto"/>
        <w:ind w:firstLine="709"/>
        <w:jc w:val="both"/>
      </w:pPr>
      <w:r>
        <w:t>O contador é um profissional fundamental na vida de empresários e empreendedores. Ele é o responsável por manter todos os trâmites legais da empresa dentro dos conformes (</w:t>
      </w:r>
      <w:r>
        <w:t>SEBRAE, 2022). O contador é o profissional habilitado para cuidar da parte financeira de pessoas físicas e jurídicas. Se for credenciado no Conselho Regional de Contabilidade (CRC), ele pode atuar diretamente com gestão empresarial, auditorias, perícia, co</w:t>
      </w:r>
      <w:r>
        <w:t>ntroladoria e quaisquer órgãos financeiros (SEBRAE, 2022). Iudícibus</w:t>
      </w:r>
      <w:r>
        <w:rPr>
          <w:i/>
        </w:rPr>
        <w:t xml:space="preserve"> et al.</w:t>
      </w:r>
      <w:r>
        <w:t xml:space="preserve"> (2018) destacam que a tarefa básica do contador é produzir e/ou gerenciar informações úteis aos usuários da Contabilidade para a tomada de decisões.</w:t>
      </w:r>
    </w:p>
    <w:p w14:paraId="79FD6DBB" w14:textId="77777777" w:rsidR="00643609" w:rsidRDefault="000651AA">
      <w:pPr>
        <w:spacing w:after="0" w:line="360" w:lineRule="auto"/>
        <w:ind w:firstLine="709"/>
        <w:jc w:val="both"/>
      </w:pPr>
      <w:r>
        <w:t>Segundo Machado</w:t>
      </w:r>
      <w:r>
        <w:rPr>
          <w:i/>
        </w:rPr>
        <w:t xml:space="preserve"> et al</w:t>
      </w:r>
      <w:r>
        <w:t>. (2021) m</w:t>
      </w:r>
      <w:r>
        <w:t>uitos Microempreendedor individual ainda enfrentam dificuldades para entender a burocracia envolvida na formalização, na declaração de impostos e na entrega de obrigações acessórias anuais, isso ocorre especialmente em situações em que o MEI ultrapassa o l</w:t>
      </w:r>
      <w:r>
        <w:t>imite de faturamento permitido ou em que há a contratação de um funcionário. Além disso, Machado</w:t>
      </w:r>
      <w:r>
        <w:rPr>
          <w:i/>
        </w:rPr>
        <w:t xml:space="preserve"> et al.</w:t>
      </w:r>
      <w:r>
        <w:t xml:space="preserve"> (2021) citam que o pequeno empreendedor também enfrenta a forte concorrência de empresas maiores, que estão há mais tempo no mercado, por isso é necessá</w:t>
      </w:r>
      <w:r>
        <w:t>rio, antes de abrir um negócio, fazer um plano de negócio para ter certeza sobre a real viabilidade do seu negócio e se é o momento certo para abrir um empreendimento.</w:t>
      </w:r>
    </w:p>
    <w:p w14:paraId="0A67A2E3" w14:textId="77777777" w:rsidR="00643609" w:rsidRDefault="000651AA">
      <w:pPr>
        <w:spacing w:after="0" w:line="360" w:lineRule="auto"/>
        <w:ind w:firstLine="709"/>
        <w:jc w:val="both"/>
      </w:pPr>
      <w:r>
        <w:t>Os autores Moreira</w:t>
      </w:r>
      <w:r>
        <w:rPr>
          <w:i/>
        </w:rPr>
        <w:t xml:space="preserve"> et al</w:t>
      </w:r>
      <w:r>
        <w:t>. (2022) informam que apesar de o MEI ter acesso a linhas de cré</w:t>
      </w:r>
      <w:r>
        <w:t>dito facilitadas, muitos ainda enfrentam dificuldades para conseguir empréstimos em instituições financeiras devido a exigências de garantias ou histórico de crédito e a falta de conhecimento na gestão financeira e contábil é uma das dificuldades mais reco</w:t>
      </w:r>
      <w:r>
        <w:t xml:space="preserve">rrentes entre os MEIs. A Lei 10.406/2002 – Código Civil dispensa a obrigatoriedade de microempreendedores individuais manterem escrituração contábil, e consequentemente, um contador, diversos estudos apontam </w:t>
      </w:r>
      <w:r>
        <w:lastRenderedPageBreak/>
        <w:t>que é fundamental que estes pequenos empresários</w:t>
      </w:r>
      <w:r>
        <w:t xml:space="preserve"> tenham um contador para auxiliá-los na gestão dos seus negócios.</w:t>
      </w:r>
    </w:p>
    <w:p w14:paraId="44E08CFF" w14:textId="77777777" w:rsidR="00643609" w:rsidRDefault="000651AA">
      <w:pPr>
        <w:keepNext/>
        <w:spacing w:before="360" w:after="240" w:line="360" w:lineRule="auto"/>
      </w:pPr>
      <w:r>
        <w:rPr>
          <w:b/>
        </w:rPr>
        <w:t>3 METODOLOGIA</w:t>
      </w:r>
    </w:p>
    <w:p w14:paraId="758DE4C1" w14:textId="77777777" w:rsidR="00643609" w:rsidRDefault="000651AA">
      <w:pPr>
        <w:spacing w:after="0" w:line="360" w:lineRule="auto"/>
        <w:ind w:firstLine="709"/>
        <w:jc w:val="both"/>
      </w:pPr>
      <w:r>
        <w:t>A pesquisa tem uma abordagem quantitativa, descritiva que visa possibilitar a compreensão detalhada e contextualizada sobre as práticas contábeis aplicadas ao Microempreendedor</w:t>
      </w:r>
      <w:r>
        <w:t xml:space="preserve"> Individual (MEI), suas dificuldades, benefícios e necessidades no âmbito da gestão financeira e cumprimento das obrigações fiscais.</w:t>
      </w:r>
    </w:p>
    <w:p w14:paraId="5F8DC350" w14:textId="77777777" w:rsidR="00643609" w:rsidRDefault="000651AA">
      <w:pPr>
        <w:spacing w:after="0" w:line="360" w:lineRule="auto"/>
        <w:ind w:firstLine="709"/>
        <w:jc w:val="both"/>
      </w:pPr>
      <w:r>
        <w:t>Considerando os objetivos propostos, esta pesquisa caracteriza-se como descritiva, uma vez que busca analisar as caracterís</w:t>
      </w:r>
      <w:r>
        <w:t>ticas de um grupo específico os Microempreendedores Individuais (MEIs) e identificar possíveis relações entre variáveis como perfil socioeconômico, utilização dos serviços contábeis e grau de satisfação com tais serviços (Gil, 2008).</w:t>
      </w:r>
    </w:p>
    <w:p w14:paraId="5C8AB000" w14:textId="77777777" w:rsidR="00643609" w:rsidRDefault="000651AA">
      <w:pPr>
        <w:spacing w:after="0" w:line="360" w:lineRule="auto"/>
        <w:ind w:firstLine="709"/>
        <w:jc w:val="both"/>
      </w:pPr>
      <w:r>
        <w:t>Quanto aos procediment</w:t>
      </w:r>
      <w:r>
        <w:t>os técnicos, trata-se de um levantamento, método que consiste na coleta direta de dados junto à população-alvo, por meio da aplicação de questionários, com o intuito de conhecer comportamentos, opiniões e percepções sobre a atuação do contador (Gil, 2008).</w:t>
      </w:r>
    </w:p>
    <w:p w14:paraId="4F8EC4F8" w14:textId="77777777" w:rsidR="00643609" w:rsidRDefault="000651AA">
      <w:pPr>
        <w:spacing w:after="0" w:line="360" w:lineRule="auto"/>
        <w:ind w:firstLine="709"/>
        <w:jc w:val="both"/>
      </w:pPr>
      <w:r>
        <w:t>A população-alvo da pesquisa é composta por Microempreendedores Individuais (MEIs) residentes em Londrina/PR, com idade igual ou superior a 18 anos. Foram excluídos da amostra os indivíduos que atuam na área contábil, a fim de evitar vieses relacionados a</w:t>
      </w:r>
      <w:r>
        <w:t>o conflito de interesse.</w:t>
      </w:r>
    </w:p>
    <w:p w14:paraId="3327372F" w14:textId="77777777" w:rsidR="00643609" w:rsidRDefault="000651AA">
      <w:pPr>
        <w:spacing w:after="0" w:line="360" w:lineRule="auto"/>
        <w:ind w:firstLine="709"/>
        <w:jc w:val="both"/>
      </w:pPr>
      <w:r>
        <w:t xml:space="preserve">Para a definição da amostra, foram utilizados dados públicos disponíveis no Portal do Empreendedor, referentes ao total de MEIs registrados no município. Informações complementares foram obtidas por meio de consulta </w:t>
      </w:r>
      <w:r>
        <w:t>utilizando as bases da plataforma MaisMei, que, embora de iniciativa privada, agrega dados públicos de MEIs e oferece serviços voltados a esse público.</w:t>
      </w:r>
    </w:p>
    <w:p w14:paraId="027CDECB" w14:textId="77777777" w:rsidR="00643609" w:rsidRDefault="000651AA">
      <w:pPr>
        <w:spacing w:after="0" w:line="360" w:lineRule="auto"/>
        <w:ind w:firstLine="709"/>
        <w:jc w:val="both"/>
      </w:pPr>
      <w:r>
        <w:t>A fim de validar e complementar as informações, utilizou-se também o sistema REDESIM (Rede Nacional para</w:t>
      </w:r>
      <w:r>
        <w:t xml:space="preserve"> a Simplificação do Registro e da Legalização de Empresas e Negócios), com o objetivo de confirmar os dados de contato e a situação cadastral dos microempreendedores selecionados.</w:t>
      </w:r>
    </w:p>
    <w:p w14:paraId="0B7BC7A0" w14:textId="77777777" w:rsidR="00643609" w:rsidRDefault="000651AA">
      <w:pPr>
        <w:spacing w:after="0" w:line="360" w:lineRule="auto"/>
        <w:ind w:firstLine="709"/>
        <w:jc w:val="both"/>
      </w:pPr>
      <w:r>
        <w:t xml:space="preserve">Ressalta-se que as informações não se caracterizam como dados sigilosos nem </w:t>
      </w:r>
      <w:r>
        <w:t xml:space="preserve">estão sujeitas às restrições da Lei Geral de Proteção de Dados (LGPD) – Lei nº 13.709/2018, uma vez que os contatos serão extraídos de fonte pública no site </w:t>
      </w:r>
      <w:r>
        <w:lastRenderedPageBreak/>
        <w:t>MaisMei confirmados no portal REDESIM, disponibilizado pelo Governo Federal, portanto, de fonte púb</w:t>
      </w:r>
      <w:r>
        <w:t>lica e acessíveis a qualquer cidadão.</w:t>
      </w:r>
    </w:p>
    <w:p w14:paraId="26A5E93F" w14:textId="77777777" w:rsidR="00643609" w:rsidRDefault="000651AA">
      <w:pPr>
        <w:spacing w:after="0" w:line="360" w:lineRule="auto"/>
        <w:ind w:firstLine="709"/>
        <w:jc w:val="both"/>
      </w:pPr>
      <w:r>
        <w:t xml:space="preserve">A pesquisa adotou amostragem não probabilística por conveniência, com adesão voluntária dos participantes. Os dados foram coletados por meio de um questionário estruturado, composto por perguntas fechadas e objetivas, </w:t>
      </w:r>
      <w:r>
        <w:t>utilizando a ferramenta Google Forms, online enviado por e-mail para os MEIs, disponíveis nas bases consultadas, contendo as orientações de preenchimento do questionário.</w:t>
      </w:r>
    </w:p>
    <w:p w14:paraId="45F1CF1F" w14:textId="77777777" w:rsidR="00643609" w:rsidRDefault="000651AA">
      <w:pPr>
        <w:spacing w:after="0" w:line="360" w:lineRule="auto"/>
        <w:ind w:firstLine="709"/>
        <w:jc w:val="both"/>
      </w:pPr>
      <w:r>
        <w:t xml:space="preserve">Foi realizada a aplicação do questionário estruturado, e validado com base no estudo </w:t>
      </w:r>
      <w:r>
        <w:t>dos autores Bergamo e Pereira (2022) e Silva, Andrade (2021), alterado e adaptado. Assim, o instrumento de coleta utilizado foi um questionário estruturado com 17 questões objetivas, dividido em três blocos temáticos: (a) perfil socioeconômico dos Microemp</w:t>
      </w:r>
      <w:r>
        <w:t>reendedores Individuais; (b) utilização dos serviços contábeis e suas principais finalidades; e (c) grau de satisfação com os serviços contábeis recebidos. A aplicação do instrumento considerou critérios específicos para seleção dos participantes, alinhado</w:t>
      </w:r>
      <w:r>
        <w:t>s aos princípios éticos da Resolução CNS nº 466/2012, que regula pesquisas envolvendo seres humanos (pesquisa aprovada pelo Comitê de Ética da UEL (CAAE: 87917325.5.0000.5231 | Parecer nº 7.547.914).</w:t>
      </w:r>
    </w:p>
    <w:p w14:paraId="68A3C086" w14:textId="77777777" w:rsidR="00643609" w:rsidRDefault="000651AA">
      <w:pPr>
        <w:spacing w:after="0" w:line="360" w:lineRule="auto"/>
        <w:ind w:firstLine="709"/>
        <w:jc w:val="both"/>
      </w:pPr>
      <w:r>
        <w:t>Os critérios de inclusão foram: ser formalmente registra</w:t>
      </w:r>
      <w:r>
        <w:t>do como Microempreendedor Individual (MEI) conforme a Lei Complementar nº 128/2008; ser o responsável legal pelo negócio; atuar ou residir em Londrina/PR; e aceitar participar voluntariamente, assinando o Termo de Consentimento Livre e Esclarecido (TCLE).</w:t>
      </w:r>
    </w:p>
    <w:p w14:paraId="6D1DB82F" w14:textId="77777777" w:rsidR="00643609" w:rsidRDefault="000651AA">
      <w:pPr>
        <w:spacing w:after="0" w:line="360" w:lineRule="auto"/>
        <w:ind w:firstLine="709"/>
        <w:jc w:val="both"/>
      </w:pPr>
      <w:r>
        <w:t>Foram excluídos da amostra: indivíduos que não são MEIs; menores de 18 anos; responsáveis por empresas contábeis (por configuração de conflito de interesse); residentes fora de Londrina/PR; e aqueles que não fornecerem consentimento informado.</w:t>
      </w:r>
    </w:p>
    <w:p w14:paraId="282FC54F" w14:textId="77777777" w:rsidR="00643609" w:rsidRDefault="000651AA">
      <w:pPr>
        <w:spacing w:after="0" w:line="360" w:lineRule="auto"/>
        <w:ind w:firstLine="709"/>
        <w:jc w:val="both"/>
      </w:pPr>
      <w:r>
        <w:t>A pesquisa f</w:t>
      </w:r>
      <w:r>
        <w:t>oi realizada de forma online, por meio do envio de e-mail contendo o TCLE e o link para o formulário do Google Forms.</w:t>
      </w:r>
    </w:p>
    <w:p w14:paraId="4BB12045" w14:textId="77777777" w:rsidR="00643609" w:rsidRDefault="000651AA">
      <w:pPr>
        <w:spacing w:after="0" w:line="360" w:lineRule="auto"/>
        <w:ind w:firstLine="709"/>
        <w:jc w:val="both"/>
      </w:pPr>
      <w:r>
        <w:t>A coleta de dados ocorreu exclusivamente com MEIs de Londrina/PR, garantindo a delimitação geográfica da amostra e respeitando os critério</w:t>
      </w:r>
      <w:r>
        <w:t>s éticos e metodológicos da pesquisa.</w:t>
      </w:r>
    </w:p>
    <w:p w14:paraId="652FD639" w14:textId="77777777" w:rsidR="00643609" w:rsidRDefault="000651AA">
      <w:pPr>
        <w:keepNext/>
        <w:spacing w:before="360" w:after="240" w:line="360" w:lineRule="auto"/>
      </w:pPr>
      <w:r>
        <w:rPr>
          <w:b/>
        </w:rPr>
        <w:lastRenderedPageBreak/>
        <w:t>4 APRESENTAÇÃO E ANÁLISE DOS DADOS</w:t>
      </w:r>
    </w:p>
    <w:p w14:paraId="773A3CC5" w14:textId="77777777" w:rsidR="00643609" w:rsidRDefault="000651AA">
      <w:pPr>
        <w:spacing w:after="0" w:line="360" w:lineRule="auto"/>
        <w:ind w:firstLine="709"/>
        <w:jc w:val="both"/>
      </w:pPr>
      <w:r>
        <w:t>Os resultados têm como ponto de partida o objetivo central deste estudo, que buscou compreender de que maneira a atuação do contador contribui para o desenvolvimento dos Microempreend</w:t>
      </w:r>
      <w:r>
        <w:t>edores Individuais (MEIs). Para alcançar essa finalidade, foram analisados o perfil socioeconômico dos participantes, a utilização dos serviços contábeis e as principais áreas em que esses serviços se fazem presentes, bem como o nível de satisfação dos emp</w:t>
      </w:r>
      <w:r>
        <w:t>reendedores em relação ao apoio contábil recebido. A seguir, apresentam-se as análises e interpretações dos dados obtidos, destacando as implicações para a prática profissional e para a realidade dos MEIs.</w:t>
      </w:r>
    </w:p>
    <w:p w14:paraId="103A3945" w14:textId="77777777" w:rsidR="00643609" w:rsidRDefault="000651AA">
      <w:pPr>
        <w:spacing w:after="0" w:line="360" w:lineRule="auto"/>
        <w:ind w:firstLine="709"/>
        <w:jc w:val="both"/>
      </w:pPr>
      <w:r>
        <w:t>Foram enviados 300 convites por e-mail e obtidos 8</w:t>
      </w:r>
      <w:r>
        <w:t>6 registros no formulário, correspondentes a uma taxa bruta de retorno de 28,67%. Desses registros, cinco foram excluídos porque os participantes não aceitaram o Termo de Consentimento Livre e Esclarecido e dois porque declararam exercer a profissão de con</w:t>
      </w:r>
      <w:r>
        <w:t>tador. Dessa forma, a amostra final foi composta por 79 respostas válidas, equivalentes a 26,33% dos convites enviados. Todos os participantes incluídos aceitaram o TCLE, declararam não exercer a profissão de contador e informaram residir em Londrina-PR.</w:t>
      </w:r>
    </w:p>
    <w:p w14:paraId="24B3CE88" w14:textId="77777777" w:rsidR="00643609" w:rsidRDefault="000651AA">
      <w:pPr>
        <w:keepNext/>
        <w:spacing w:before="360" w:after="240" w:line="360" w:lineRule="auto"/>
      </w:pPr>
      <w:r>
        <w:rPr>
          <w:b/>
        </w:rPr>
        <w:t>4</w:t>
      </w:r>
      <w:r>
        <w:rPr>
          <w:b/>
        </w:rPr>
        <w:t>.1 Perfil Socioeconômico dos MEIs</w:t>
      </w:r>
    </w:p>
    <w:p w14:paraId="2106EF4E" w14:textId="77777777" w:rsidR="00643609" w:rsidRDefault="000651AA">
      <w:pPr>
        <w:spacing w:after="0" w:line="360" w:lineRule="auto"/>
        <w:ind w:firstLine="709"/>
        <w:jc w:val="both"/>
      </w:pPr>
      <w:r>
        <w:t xml:space="preserve">O levantamento do perfil socioeconômico do Microempreendedor Individual (MEI) permite compreender melhor as características pessoais, profissionais e sociais desse segmento que representa hoje uma das principais formas de </w:t>
      </w:r>
      <w:r>
        <w:t>formalização do trabalho no Brasil. Sendo indicados pelas Figuras 1, 2, 3 e 4.</w:t>
      </w:r>
    </w:p>
    <w:p w14:paraId="22174A25" w14:textId="77777777" w:rsidR="00643609" w:rsidRDefault="000651AA">
      <w:pPr>
        <w:spacing w:after="0" w:line="360" w:lineRule="auto"/>
        <w:ind w:firstLine="709"/>
        <w:jc w:val="both"/>
      </w:pPr>
      <w:r>
        <w:t>Levando em consideração os dados do IBGE (2024) que cerca de 54,7% dos Microempreendedores Individuais (MEIs) eram do sexo masculino, enquanto 45,3 % eram do sexo feminino, cham</w:t>
      </w:r>
      <w:r>
        <w:t>a a atenção dos resultados nessa pesquisa por ser composta da maioria dos participantes são do sexo feminino (60,3%), enquanto o sexo masculino representa 39,7% dos respondentes. Esse dado revela uma maior participação de mulheres na pesquisa, o que pode r</w:t>
      </w:r>
      <w:r>
        <w:t>efletir o perfil predominante entre os interessados no tema ou entre os microempreendedores individuais (MEIs) que responderam ao questionário. Essa predominância feminina pode influenciar as percepções e necessidades relatadas ao longo do estudo, sendo um</w:t>
      </w:r>
      <w:r>
        <w:t xml:space="preserve"> aspecto </w:t>
      </w:r>
      <w:r>
        <w:lastRenderedPageBreak/>
        <w:t>relevante a ser considerado na análise dos resultados, e que corrobora com a pesquisa de Formoso (2023) sobre a presença e características das mulheres como MEI</w:t>
      </w:r>
    </w:p>
    <w:p w14:paraId="728439DE" w14:textId="77777777" w:rsidR="00643609" w:rsidRDefault="000651AA">
      <w:pPr>
        <w:spacing w:after="0" w:line="360" w:lineRule="auto"/>
        <w:ind w:firstLine="709"/>
        <w:jc w:val="both"/>
      </w:pPr>
      <w:r>
        <w:t>A totalidade dos participantes da pesquisa reside em Londrina (100%), o que assegura a</w:t>
      </w:r>
      <w:r>
        <w:t xml:space="preserve"> regionalização dos dados e garante que os resultados obtidos representam exclusivamente a realidade local. Esse dado é importante para delimitar o escopo da pesquisa e fortalece a validade das conclusões voltadas ao contexto de Londrina, especialmente no </w:t>
      </w:r>
      <w:r>
        <w:t>que diz respeito à atuação do contador junto ao Microempreendedor Individual (MEI) na cidade.</w:t>
      </w:r>
    </w:p>
    <w:p w14:paraId="55ACDDFA" w14:textId="77777777" w:rsidR="00643609" w:rsidRDefault="000651AA">
      <w:pPr>
        <w:keepNext/>
        <w:keepLines/>
        <w:spacing w:before="240" w:after="120" w:line="240" w:lineRule="auto"/>
      </w:pPr>
      <w:r>
        <w:rPr>
          <w:b/>
          <w:sz w:val="20"/>
        </w:rPr>
        <w:t>Figura 1</w:t>
      </w:r>
      <w:r>
        <w:rPr>
          <w:sz w:val="20"/>
        </w:rPr>
        <w:t>: Faixa etária</w:t>
      </w:r>
    </w:p>
    <w:p w14:paraId="63CCA20D" w14:textId="77777777" w:rsidR="00643609" w:rsidRDefault="000651AA">
      <w:pPr>
        <w:keepNext/>
        <w:spacing w:before="120" w:after="120"/>
        <w:jc w:val="center"/>
      </w:pPr>
      <w:r>
        <w:rPr>
          <w:noProof/>
        </w:rPr>
        <w:drawing>
          <wp:inline distT="0" distB="0" distL="0" distR="0" wp14:anchorId="6AD72666" wp14:editId="5AE8FBC2">
            <wp:extent cx="5753100" cy="272944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_reg4.png"/>
                    <pic:cNvPicPr/>
                  </pic:nvPicPr>
                  <pic:blipFill>
                    <a:blip r:embed="rId9"/>
                    <a:stretch>
                      <a:fillRect/>
                    </a:stretch>
                  </pic:blipFill>
                  <pic:spPr>
                    <a:xfrm>
                      <a:off x="0" y="0"/>
                      <a:ext cx="5753100" cy="2729441"/>
                    </a:xfrm>
                    <a:prstGeom prst="rect">
                      <a:avLst/>
                    </a:prstGeom>
                  </pic:spPr>
                </pic:pic>
              </a:graphicData>
            </a:graphic>
          </wp:inline>
        </w:drawing>
      </w:r>
    </w:p>
    <w:p w14:paraId="3C71AB95" w14:textId="77777777" w:rsidR="00643609" w:rsidRDefault="000651AA">
      <w:pPr>
        <w:spacing w:after="0" w:line="360" w:lineRule="auto"/>
        <w:ind w:firstLine="709"/>
        <w:jc w:val="both"/>
      </w:pPr>
      <w:r>
        <w:t xml:space="preserve">O Figura 1 revela uma diversidade de faixas etárias entre os participantes da pesquisa, com predominância das faixas entre 31 e 50 anos, </w:t>
      </w:r>
      <w:r>
        <w:t>que juntas somam mais da metade dos respondentes (54,5%). A maior concentração está na faixa 31 a 40 anos (30,4%). As faixas etárias de 20 a 30 anos (21,5%) e acima de 50 anos (22,8%) também apresentam representatividade significativa, mostrando que o estu</w:t>
      </w:r>
      <w:r>
        <w:t>do abrange diferentes gerações. A participação mínima de pessoas com menos de 20 anos e a quase inexistência da opção “Prefiro não informar”.</w:t>
      </w:r>
    </w:p>
    <w:p w14:paraId="6FD04B51" w14:textId="77777777" w:rsidR="00643609" w:rsidRDefault="000651AA">
      <w:pPr>
        <w:spacing w:after="0" w:line="360" w:lineRule="auto"/>
        <w:ind w:firstLine="709"/>
        <w:jc w:val="both"/>
      </w:pPr>
      <w:r>
        <w:t>Esses resultados estão em consonância com os dados oficiais do Portal do Empreendedor (2025), que apontam maior co</w:t>
      </w:r>
      <w:r>
        <w:t>ncentração de MEIs em Londrina na faixa de 31 a 40 anos (29,22%), seguida de 21 a 30 anos (23,60%) e 41 a 50 anos (22,53%).</w:t>
      </w:r>
    </w:p>
    <w:p w14:paraId="24E65A9D" w14:textId="77777777" w:rsidR="00643609" w:rsidRDefault="000651AA">
      <w:pPr>
        <w:spacing w:after="0" w:line="360" w:lineRule="auto"/>
        <w:ind w:firstLine="709"/>
        <w:jc w:val="both"/>
      </w:pPr>
      <w:r>
        <w:lastRenderedPageBreak/>
        <w:t>Por outro lado, segundo Faria</w:t>
      </w:r>
      <w:r>
        <w:rPr>
          <w:i/>
        </w:rPr>
        <w:t xml:space="preserve"> et. al</w:t>
      </w:r>
      <w:r>
        <w:t xml:space="preserve"> (2015), as faixas etárias mais altas, como 51 a 60 anos (13%), 61 a 70 anos (3%) e acima de 70 anos (1%), apresentam participação reduzida, possivelmente em razão da aposentadoria, menor disposição para assumir riscos ou dificuldades em se adaptar a novas</w:t>
      </w:r>
      <w:r>
        <w:t xml:space="preserve"> demandas do mercado. Já a participação dos jovens de 18 a 20 anos (2%) é tímida, o que pode estar relacionado à falta de experiência profissional e de capital inicial para empreender. Esses contrastes com faria (2015) sugerem que fatores regionais e tempo</w:t>
      </w:r>
      <w:r>
        <w:t>rais podem influenciar o perfil etário dos MEIs.</w:t>
      </w:r>
    </w:p>
    <w:p w14:paraId="342EFA00" w14:textId="77777777" w:rsidR="00643609" w:rsidRDefault="000651AA">
      <w:pPr>
        <w:keepNext/>
        <w:keepLines/>
        <w:spacing w:before="240" w:after="120" w:line="240" w:lineRule="auto"/>
      </w:pPr>
      <w:r>
        <w:rPr>
          <w:b/>
          <w:sz w:val="20"/>
        </w:rPr>
        <w:t>Figura 2:</w:t>
      </w:r>
      <w:r>
        <w:rPr>
          <w:sz w:val="20"/>
        </w:rPr>
        <w:t xml:space="preserve"> Grau de escolaridade</w:t>
      </w:r>
    </w:p>
    <w:p w14:paraId="093997FD" w14:textId="77777777" w:rsidR="00643609" w:rsidRDefault="000651AA">
      <w:pPr>
        <w:keepNext/>
        <w:spacing w:before="120" w:after="120"/>
        <w:jc w:val="center"/>
      </w:pPr>
      <w:r>
        <w:rPr>
          <w:noProof/>
        </w:rPr>
        <w:drawing>
          <wp:inline distT="0" distB="0" distL="0" distR="0" wp14:anchorId="370F201D" wp14:editId="5A4FBBD2">
            <wp:extent cx="5753100" cy="312776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1_reg3.png"/>
                    <pic:cNvPicPr/>
                  </pic:nvPicPr>
                  <pic:blipFill>
                    <a:blip r:embed="rId10"/>
                    <a:stretch>
                      <a:fillRect/>
                    </a:stretch>
                  </pic:blipFill>
                  <pic:spPr>
                    <a:xfrm>
                      <a:off x="0" y="0"/>
                      <a:ext cx="5753100" cy="3127767"/>
                    </a:xfrm>
                    <a:prstGeom prst="rect">
                      <a:avLst/>
                    </a:prstGeom>
                  </pic:spPr>
                </pic:pic>
              </a:graphicData>
            </a:graphic>
          </wp:inline>
        </w:drawing>
      </w:r>
    </w:p>
    <w:p w14:paraId="01886B0E" w14:textId="77777777" w:rsidR="00643609" w:rsidRDefault="000651AA">
      <w:pPr>
        <w:spacing w:after="0" w:line="360" w:lineRule="auto"/>
        <w:ind w:firstLine="709"/>
        <w:jc w:val="both"/>
      </w:pPr>
      <w:r>
        <w:t>A Figura 2 demonstra que a maior parcela dos participantes possui ensino médio completo (35,4%), seguida por ensino superior completo (24,1%). Dessa forma, verifica-se que ma</w:t>
      </w:r>
      <w:r>
        <w:t>is da metade dos respondentes concluiu, ao menos, o nível médio de escolaridade, o que indica um grau satisfatório de formação educacional entre os MEIs investigados.</w:t>
      </w:r>
    </w:p>
    <w:p w14:paraId="697F96A8" w14:textId="77777777" w:rsidR="00643609" w:rsidRDefault="000651AA">
      <w:pPr>
        <w:spacing w:after="0" w:line="360" w:lineRule="auto"/>
        <w:ind w:firstLine="709"/>
        <w:jc w:val="both"/>
      </w:pPr>
      <w:r>
        <w:t xml:space="preserve">Constata-se, ainda, que 16,5% possuem pós-graduação, seja completa ou em </w:t>
      </w:r>
      <w:r>
        <w:t>andamento, evidenciando a busca de parte dos entrevistados por maior qualificação acadêmica e profissional. Em contrapartida, 20,3% possuem apenas o ensino fundamental completo, o que reforça a heterogeneidade do perfil educacional da amostra.</w:t>
      </w:r>
    </w:p>
    <w:p w14:paraId="5EC38911" w14:textId="77777777" w:rsidR="00643609" w:rsidRDefault="000651AA">
      <w:pPr>
        <w:spacing w:after="0" w:line="360" w:lineRule="auto"/>
        <w:ind w:firstLine="709"/>
        <w:jc w:val="both"/>
      </w:pPr>
      <w:r>
        <w:t>Na proporcio</w:t>
      </w:r>
      <w:r>
        <w:t xml:space="preserve">nalidade, esses dados revelam as mesmas características. Segundo os dados do IBGE (2024), cujo grau de escolaridade para os MEIs </w:t>
      </w:r>
      <w:r>
        <w:lastRenderedPageBreak/>
        <w:t>apresentou as seguintes informações, para analfabetos 5%, fundamental completo 12,4%, ensino médio completo 63,9%, superior com</w:t>
      </w:r>
      <w:r>
        <w:t>pleto 18,7%.</w:t>
      </w:r>
    </w:p>
    <w:p w14:paraId="0E6E34E9" w14:textId="77777777" w:rsidR="00643609" w:rsidRDefault="000651AA">
      <w:pPr>
        <w:keepNext/>
        <w:keepLines/>
        <w:spacing w:before="240" w:after="120" w:line="240" w:lineRule="auto"/>
      </w:pPr>
      <w:r>
        <w:rPr>
          <w:b/>
          <w:sz w:val="20"/>
        </w:rPr>
        <w:t>Figura 3:</w:t>
      </w:r>
      <w:r>
        <w:rPr>
          <w:sz w:val="20"/>
        </w:rPr>
        <w:t xml:space="preserve"> Qual o setor de atuação do seu MEI?</w:t>
      </w:r>
    </w:p>
    <w:p w14:paraId="34F0790E" w14:textId="77777777" w:rsidR="00643609" w:rsidRDefault="000651AA">
      <w:pPr>
        <w:keepNext/>
        <w:spacing w:before="120" w:after="120"/>
        <w:jc w:val="center"/>
      </w:pPr>
      <w:r>
        <w:rPr>
          <w:noProof/>
        </w:rPr>
        <w:drawing>
          <wp:inline distT="0" distB="0" distL="0" distR="0" wp14:anchorId="3FE54579" wp14:editId="59A71928">
            <wp:extent cx="5753100" cy="294218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2_reg1.png"/>
                    <pic:cNvPicPr/>
                  </pic:nvPicPr>
                  <pic:blipFill>
                    <a:blip r:embed="rId11"/>
                    <a:stretch>
                      <a:fillRect/>
                    </a:stretch>
                  </pic:blipFill>
                  <pic:spPr>
                    <a:xfrm>
                      <a:off x="0" y="0"/>
                      <a:ext cx="5753100" cy="2942183"/>
                    </a:xfrm>
                    <a:prstGeom prst="rect">
                      <a:avLst/>
                    </a:prstGeom>
                  </pic:spPr>
                </pic:pic>
              </a:graphicData>
            </a:graphic>
          </wp:inline>
        </w:drawing>
      </w:r>
    </w:p>
    <w:p w14:paraId="0860E096" w14:textId="77777777" w:rsidR="00643609" w:rsidRDefault="000651AA">
      <w:pPr>
        <w:spacing w:after="0" w:line="360" w:lineRule="auto"/>
        <w:ind w:firstLine="709"/>
        <w:jc w:val="both"/>
      </w:pPr>
      <w:r>
        <w:t>A Figura 3 mostra que a maior parte dos Microempreendedores Individuais (MEIs) participantes atua no setor de serviços (53,2%), seguido por uma participação expressiva no setor do comércio (39,2%</w:t>
      </w:r>
      <w:r>
        <w:t xml:space="preserve">). Isso confirma uma tendência nacional, onde o setor de serviços costuma representar a maior parte dos MEIs cadastrados. Nesse sentido, Faria et al. (2015) identificaram concentração semelhante em nível nacional, destacando os setores de comércio (39,3%) </w:t>
      </w:r>
      <w:r>
        <w:t>e serviços (35,8%) como os mais representativos, seguidos por indústria (15,2%), construção civil (8,5%) e agropecuária (0,6%). De forma convergente, Formoso (2022) também verificou a predominância do setor de serviços entre os MEIs, sobretudo entre as mul</w:t>
      </w:r>
      <w:r>
        <w:t>heres, ressaltando que essa área constitui importante porta de entrada para a formalização do empreendedorismo individual.</w:t>
      </w:r>
    </w:p>
    <w:p w14:paraId="07948D72" w14:textId="77777777" w:rsidR="00643609" w:rsidRDefault="000651AA">
      <w:pPr>
        <w:spacing w:after="0" w:line="360" w:lineRule="auto"/>
        <w:ind w:firstLine="709"/>
        <w:jc w:val="both"/>
      </w:pPr>
      <w:r>
        <w:t>Somado a isso, o dado também aponta que os MEIs da amostra estão fortemente ligados à economia urbana, com foco em áreas que demandam</w:t>
      </w:r>
      <w:r>
        <w:t xml:space="preserve"> menos infraestrutura industrial e mais contato com o cliente, o que é comum em cidades como Londrina. A ausência de respostas na opção "Prefiro não informar" também demonstra a transparência e disposição dos participantes em colaborar com a pesquisa.</w:t>
      </w:r>
    </w:p>
    <w:p w14:paraId="690315AB" w14:textId="77777777" w:rsidR="00643609" w:rsidRDefault="000651AA">
      <w:pPr>
        <w:spacing w:after="0" w:line="360" w:lineRule="auto"/>
        <w:ind w:firstLine="709"/>
        <w:jc w:val="both"/>
      </w:pPr>
      <w:r>
        <w:t>Segu</w:t>
      </w:r>
      <w:r>
        <w:t xml:space="preserve">ndo SEBRAE (2024), o setor de Serviços apresenta concentração de 36%, Comércio também apresenta 36%, revelando que são atividades atrativas e </w:t>
      </w:r>
      <w:r>
        <w:lastRenderedPageBreak/>
        <w:t>acessíveis para o MEI. A Construção Civil tem participação equilibrada, com destaque para os 34%.</w:t>
      </w:r>
    </w:p>
    <w:p w14:paraId="3663375C" w14:textId="77777777" w:rsidR="00643609" w:rsidRDefault="000651AA">
      <w:pPr>
        <w:spacing w:after="0" w:line="360" w:lineRule="auto"/>
        <w:ind w:firstLine="709"/>
        <w:jc w:val="both"/>
      </w:pPr>
      <w:r>
        <w:t>O tempo que os m</w:t>
      </w:r>
      <w:r>
        <w:t>icroempreendedores individuais entrevistados em Londrina atuam a menos de 1 ano apresentaram 17,7%, entre 1 a 3 anos 32,90%, de 4 a 6 anos 20,30%, com mais de 6 anos 27,80% e os que preferiram não informar 1,30%.</w:t>
      </w:r>
    </w:p>
    <w:p w14:paraId="174F9007" w14:textId="77777777" w:rsidR="00643609" w:rsidRDefault="000651AA">
      <w:pPr>
        <w:spacing w:after="0" w:line="360" w:lineRule="auto"/>
        <w:ind w:firstLine="709"/>
        <w:jc w:val="both"/>
      </w:pPr>
      <w:r>
        <w:t>A principal motivação para se tornar MEI fo</w:t>
      </w:r>
      <w:r>
        <w:t>i o desejo de ter o próprio negócio (27,8%). Em seguida, aparecem como razões relevantes o direcionamento natural do mercado de trabalho (19%), a busca por crescimento profissional (17,7%) e a saída da informalidade (17,7%). Uma parcela menor afirmou que s</w:t>
      </w:r>
      <w:r>
        <w:t>e tornou MEI por não haver outra oportunidade de trabalho (11,4%) e outras respostas somaram 5,1%.</w:t>
      </w:r>
    </w:p>
    <w:p w14:paraId="62551A95" w14:textId="77777777" w:rsidR="00643609" w:rsidRDefault="000651AA">
      <w:pPr>
        <w:keepNext/>
        <w:keepLines/>
        <w:spacing w:before="240" w:after="120" w:line="240" w:lineRule="auto"/>
      </w:pPr>
      <w:r>
        <w:rPr>
          <w:b/>
          <w:sz w:val="20"/>
        </w:rPr>
        <w:t>Figura 4:</w:t>
      </w:r>
      <w:r>
        <w:rPr>
          <w:sz w:val="20"/>
        </w:rPr>
        <w:t xml:space="preserve"> Dificuldades encontradas como MEI?</w:t>
      </w:r>
    </w:p>
    <w:p w14:paraId="75E9AF40" w14:textId="77777777" w:rsidR="00643609" w:rsidRDefault="000651AA">
      <w:pPr>
        <w:keepNext/>
        <w:spacing w:before="120" w:after="120"/>
        <w:jc w:val="center"/>
      </w:pPr>
      <w:r>
        <w:rPr>
          <w:noProof/>
        </w:rPr>
        <w:drawing>
          <wp:inline distT="0" distB="0" distL="0" distR="0" wp14:anchorId="7A7D0A70" wp14:editId="2A067502">
            <wp:extent cx="5461000" cy="398306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i_fig4.png"/>
                    <pic:cNvPicPr/>
                  </pic:nvPicPr>
                  <pic:blipFill>
                    <a:blip r:embed="rId12"/>
                    <a:stretch>
                      <a:fillRect/>
                    </a:stretch>
                  </pic:blipFill>
                  <pic:spPr>
                    <a:xfrm>
                      <a:off x="0" y="0"/>
                      <a:ext cx="5461000" cy="3983063"/>
                    </a:xfrm>
                    <a:prstGeom prst="rect">
                      <a:avLst/>
                    </a:prstGeom>
                  </pic:spPr>
                </pic:pic>
              </a:graphicData>
            </a:graphic>
          </wp:inline>
        </w:drawing>
      </w:r>
    </w:p>
    <w:p w14:paraId="20F52463" w14:textId="77777777" w:rsidR="00643609" w:rsidRDefault="000651AA">
      <w:pPr>
        <w:spacing w:after="0" w:line="360" w:lineRule="auto"/>
        <w:ind w:firstLine="709"/>
        <w:jc w:val="both"/>
      </w:pPr>
      <w:r>
        <w:t>A análise do Figura 4 revela que, embora 21,62% dos participantes relatem não enfrentar dificuldades em sua at</w:t>
      </w:r>
      <w:r>
        <w:t>uação como MEI, a maioria ainda aponta desafios importantes relacionados à gestão contábil e financeira.</w:t>
      </w:r>
    </w:p>
    <w:p w14:paraId="7781A06F" w14:textId="77777777" w:rsidR="00643609" w:rsidRDefault="000651AA">
      <w:pPr>
        <w:spacing w:after="0" w:line="360" w:lineRule="auto"/>
        <w:ind w:firstLine="709"/>
        <w:jc w:val="both"/>
      </w:pPr>
      <w:r>
        <w:t>Os maiores obstáculos identificados foram: a elaboração do faturamento anual (19,59%), possivelmente por envolver obrigações legais e declarações espec</w:t>
      </w:r>
      <w:r>
        <w:t xml:space="preserve">íficas; a organização financeira (16,22%), que é essencial para a saúde do </w:t>
      </w:r>
      <w:r>
        <w:lastRenderedPageBreak/>
        <w:t>negócio e demonstra a necessidade de maior controle e planejamento; a obtenção de crédito (12,84%), que pode refletir limitações de acesso a financiamentos ou desconhecimento das op</w:t>
      </w:r>
      <w:r>
        <w:t>ções disponíveis. Outros aspectos como cálculo do custo do produto, negociação com fornecedores e elaboração do faturamento mensal também aparecem como dificuldades relevantes, o que evidencia a ausência de orientação contábil e gerencial entre os MEIs.</w:t>
      </w:r>
    </w:p>
    <w:p w14:paraId="42F4C48D" w14:textId="77777777" w:rsidR="00643609" w:rsidRDefault="000651AA">
      <w:pPr>
        <w:spacing w:after="0" w:line="360" w:lineRule="auto"/>
        <w:ind w:firstLine="709"/>
        <w:jc w:val="both"/>
      </w:pPr>
      <w:r>
        <w:t>Se</w:t>
      </w:r>
      <w:r>
        <w:t>gundo SEBRAE (2024), o principal desafio é a dificuldade em obter recursos financeiros, por 56%; seguido de falta de infraestrutura adequada para a realização do trabalho e falta de conhecimento administrativo, ambos apontados por 31%. Em seguida, o sacrif</w:t>
      </w:r>
      <w:r>
        <w:t>ício da vida pessoal a familiar é apontado por 29% dos respondentes, manter o pagamento do Documento de Arrecadação do Simples Nacional (DAS) em dia é um desafio para 25% e a falta de conhecimento do mercado atinge 17% dos respondentes. Em menor escala, ex</w:t>
      </w:r>
      <w:r>
        <w:t>iste uma barreira de acesso às novas tecnologias por 12% dos participantes, além de 10% relatarem a falta de aparelhos de comunicação adequados como um desafio como MEI.</w:t>
      </w:r>
    </w:p>
    <w:p w14:paraId="4325235F" w14:textId="77777777" w:rsidR="00643609" w:rsidRDefault="000651AA">
      <w:pPr>
        <w:spacing w:after="0" w:line="360" w:lineRule="auto"/>
        <w:ind w:firstLine="709"/>
        <w:jc w:val="both"/>
      </w:pPr>
      <w:r>
        <w:t>Esses resultados dialogam com outras pesquisas que identificaram como desafios recorre</w:t>
      </w:r>
      <w:r>
        <w:t xml:space="preserve">ntes dos microempreendedores individuais a gestão administrativa e financeira, as barreiras de acesso a crédito, as dificuldades estruturais relacionadas ao financiamento e ao suporte gerencial, bem como falhas na organização financeira, no planejamento e </w:t>
      </w:r>
      <w:r>
        <w:t>no controle contábil. Além disso, também foi destacada a baixa valorização do acompanhamento contábil por parte de empreendedores, o que compromete a sustentabilidade de seus negócios (Formoso, 2022; Gimenez; Ferreira; Ramos, 2017).</w:t>
      </w:r>
    </w:p>
    <w:p w14:paraId="02CADEAA" w14:textId="77777777" w:rsidR="00643609" w:rsidRDefault="000651AA">
      <w:pPr>
        <w:keepNext/>
        <w:spacing w:before="360" w:after="240" w:line="360" w:lineRule="auto"/>
      </w:pPr>
      <w:r>
        <w:rPr>
          <w:b/>
        </w:rPr>
        <w:t>4.2 Utilização dos serv</w:t>
      </w:r>
      <w:r>
        <w:rPr>
          <w:b/>
        </w:rPr>
        <w:t>iços contábeis e suas principais finalidades</w:t>
      </w:r>
    </w:p>
    <w:p w14:paraId="3BCCC97E" w14:textId="77777777" w:rsidR="00643609" w:rsidRDefault="000651AA">
      <w:pPr>
        <w:spacing w:after="0" w:line="360" w:lineRule="auto"/>
        <w:ind w:firstLine="709"/>
        <w:jc w:val="both"/>
      </w:pPr>
      <w:r>
        <w:t>Essa seção tem como objetivo analisar a utilização dos serviços contábeis pelos MEI, considerando que a legislação não torna obrigatória a contratação de contador para o MEI, torna-se relevante identificar quais</w:t>
      </w:r>
      <w:r>
        <w:t xml:space="preserve"> serviços são efetivamente demandados, em que situações os empreendedores optam pelo apoio especializado e em que medida esses serviços impactam a regularidade e a sustentabilidade do empreendimento. Nessa perspectiva, os dados a seguir evidenciam as princ</w:t>
      </w:r>
      <w:r>
        <w:t>ipais finalidades atribuídas aos serviços contábeis pelos respondentes da pesquisa.</w:t>
      </w:r>
    </w:p>
    <w:p w14:paraId="3A5AC749" w14:textId="77777777" w:rsidR="00643609" w:rsidRDefault="000651AA">
      <w:pPr>
        <w:spacing w:after="0" w:line="360" w:lineRule="auto"/>
        <w:ind w:firstLine="709"/>
        <w:jc w:val="both"/>
      </w:pPr>
      <w:r>
        <w:lastRenderedPageBreak/>
        <w:t>Entre os MEIs respondentes, 57% declararam utilizar os serviços de um contador para auxiliar na gestão contábil e no cumprimento das obrigações legais, enquanto 43% prefere</w:t>
      </w:r>
      <w:r>
        <w:t>m administrar suas finanças de forma autônoma. O Gráfico 5 apresenta os serviços contábeis mais demandados pelos microempreendedores individuais (MEIs).</w:t>
      </w:r>
    </w:p>
    <w:p w14:paraId="479C0433" w14:textId="77777777" w:rsidR="00643609" w:rsidRDefault="000651AA">
      <w:pPr>
        <w:keepNext/>
        <w:keepLines/>
        <w:spacing w:before="240" w:after="120" w:line="240" w:lineRule="auto"/>
      </w:pPr>
      <w:r>
        <w:rPr>
          <w:b/>
          <w:sz w:val="20"/>
        </w:rPr>
        <w:t>Figura 5</w:t>
      </w:r>
      <w:r>
        <w:rPr>
          <w:sz w:val="20"/>
        </w:rPr>
        <w:t>: Quais serviços o contador presta para o MEI?</w:t>
      </w:r>
    </w:p>
    <w:p w14:paraId="4759F9B6" w14:textId="77777777" w:rsidR="00643609" w:rsidRDefault="000651AA">
      <w:pPr>
        <w:keepNext/>
        <w:spacing w:before="120" w:after="120"/>
        <w:jc w:val="center"/>
      </w:pPr>
      <w:r>
        <w:rPr>
          <w:noProof/>
        </w:rPr>
        <w:drawing>
          <wp:inline distT="0" distB="0" distL="0" distR="0" wp14:anchorId="54C38D31" wp14:editId="6D0C64DE">
            <wp:extent cx="5461000" cy="416076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i_fig5.png"/>
                    <pic:cNvPicPr/>
                  </pic:nvPicPr>
                  <pic:blipFill>
                    <a:blip r:embed="rId13"/>
                    <a:stretch>
                      <a:fillRect/>
                    </a:stretch>
                  </pic:blipFill>
                  <pic:spPr>
                    <a:xfrm>
                      <a:off x="0" y="0"/>
                      <a:ext cx="5461000" cy="4160762"/>
                    </a:xfrm>
                    <a:prstGeom prst="rect">
                      <a:avLst/>
                    </a:prstGeom>
                  </pic:spPr>
                </pic:pic>
              </a:graphicData>
            </a:graphic>
          </wp:inline>
        </w:drawing>
      </w:r>
    </w:p>
    <w:p w14:paraId="61CD8525" w14:textId="77777777" w:rsidR="00643609" w:rsidRDefault="000651AA">
      <w:pPr>
        <w:spacing w:after="0" w:line="360" w:lineRule="auto"/>
        <w:ind w:firstLine="709"/>
        <w:jc w:val="both"/>
      </w:pPr>
      <w:r>
        <w:t>Os resultados indicam que a Declaração Anual d</w:t>
      </w:r>
      <w:r>
        <w:t xml:space="preserve">o MEI (DASN-SIMEI) constitui o serviço mais solicitado, alcançando 22,67% dos respondentes, seguida pela abertura do MEI (18,6%). A emissão do DAS e a elaboração de relatórios de faturamento aparecem em igual proporção (11,63%), o que reforça a relevância </w:t>
      </w:r>
      <w:r>
        <w:t>do apoio contábil para a manutenção da regularidade tributária e para a gestão financeira. Serviços como orientação sobre obrigações fiscais (10,47%) e escrituração contábil (5,23%) aparecem em menor escala, sugerindo que, embora importantes, ainda não são</w:t>
      </w:r>
      <w:r>
        <w:t xml:space="preserve"> prioritários para a maioria dos MEIs. Por outro lado, atividades relacionadas à contratação de funcionários (4,65%) e à regularização de pendências (6,98%) apresentam baixa procura, possivelmente devido ao porte reduzido da maioria dos negócios, que não d</w:t>
      </w:r>
      <w:r>
        <w:t xml:space="preserve">emandam estruturas mais complexas. </w:t>
      </w:r>
      <w:r>
        <w:lastRenderedPageBreak/>
        <w:t>Ademais, observa-se que 8,14% dos respondentes preferiram não informar, o que pode indicar tanto ausência de serviços contábeis utilizados quanto desinteresse em declarar tais informações.</w:t>
      </w:r>
    </w:p>
    <w:p w14:paraId="2479C7F7" w14:textId="77777777" w:rsidR="00643609" w:rsidRDefault="000651AA">
      <w:pPr>
        <w:spacing w:after="0" w:line="360" w:lineRule="auto"/>
        <w:ind w:firstLine="709"/>
        <w:jc w:val="both"/>
      </w:pPr>
      <w:r>
        <w:t>As autoras Bergamo e Pereira (20</w:t>
      </w:r>
      <w:r>
        <w:t>22) enfatizam que os pontos mais destacados pelo contador são a falta de conhecimento por parte dos microempreendedores, principalmente em relação a legislação do MEI e as obrigações acessórias. Assim, os principais auxílios prestados pelos contadores ao M</w:t>
      </w:r>
      <w:r>
        <w:t>EI são relacionados a elaboração das declarações obrigatórias, ao Registro do MEI, gestão do negócio, gerenciamento financeiro e emissão de documentos fiscais.</w:t>
      </w:r>
    </w:p>
    <w:p w14:paraId="6EF91B4E" w14:textId="77777777" w:rsidR="00643609" w:rsidRDefault="000651AA">
      <w:pPr>
        <w:spacing w:after="0" w:line="360" w:lineRule="auto"/>
        <w:ind w:firstLine="709"/>
        <w:jc w:val="both"/>
      </w:pPr>
      <w:r>
        <w:t>A maioria dos participantes que não utiliza os serviços de contador afirmou conseguir fazer tudo</w:t>
      </w:r>
      <w:r>
        <w:t xml:space="preserve"> sozinho (34,4%), em seguida 32,8% não informaram o motivo, 19,7% indicaram “Outros” como justificativa e 7,6% responderam que não veem necessidade desses serviços. Por fim, 5,4% consideram os serviços muito caros.</w:t>
      </w:r>
    </w:p>
    <w:p w14:paraId="6599719A" w14:textId="77777777" w:rsidR="00643609" w:rsidRDefault="000651AA">
      <w:pPr>
        <w:spacing w:after="0" w:line="360" w:lineRule="auto"/>
        <w:ind w:firstLine="709"/>
        <w:jc w:val="both"/>
      </w:pPr>
      <w:r>
        <w:t>Segundo Contábeis (2024), uma pesquisa re</w:t>
      </w:r>
      <w:r>
        <w:t>alizada na plataforma MaisMei, revelou que apenas 17% dos Microempreendedores Individuais (MEIs) recorrem aos serviços contábeis. Entre aqueles que buscam esse suporte, as principais finalidades são: Declaração de impostos: 53,22 % das solicitações Emissão</w:t>
      </w:r>
      <w:r>
        <w:t xml:space="preserve"> de notas fiscais: 22,63 % Orientações sobre negócios (dicas de gestão): 8,62 % Planejamento financeiro: 5,71 %. Esses dados refletem que, ainda que uma parcela significativa da categoria deixe de buscar contadores, aqueles que o fazem geralmente focam nas</w:t>
      </w:r>
      <w:r>
        <w:t xml:space="preserve"> obrigações fiscais e administrativas mais imediatas, deixando de lado serviços estratégicos que poderiam fortalecer o negócio.</w:t>
      </w:r>
    </w:p>
    <w:p w14:paraId="4AA7FAEF" w14:textId="77777777" w:rsidR="00643609" w:rsidRDefault="000651AA">
      <w:pPr>
        <w:spacing w:after="0" w:line="360" w:lineRule="auto"/>
        <w:ind w:firstLine="709"/>
        <w:jc w:val="both"/>
      </w:pPr>
      <w:r>
        <w:t xml:space="preserve">Segundo Santos e Freitas (2018), o MEI foi criado com o intuito de diminuir a burocracia, facilitando a vida de quem </w:t>
      </w:r>
      <w:r>
        <w:t>deseja sair da informalidade e manter seu empreendimento na ativa pagando uma carga tributária menor, não tem contrato social e não pode ter sócio, a razão social dessa categoria é criada com nome completo do proprietário da empresa, e sua responsabilidade</w:t>
      </w:r>
      <w:r>
        <w:t xml:space="preserve"> é ilimitada.</w:t>
      </w:r>
    </w:p>
    <w:p w14:paraId="2952826F" w14:textId="77777777" w:rsidR="00643609" w:rsidRDefault="000651AA">
      <w:pPr>
        <w:spacing w:after="0" w:line="360" w:lineRule="auto"/>
        <w:ind w:firstLine="709"/>
        <w:jc w:val="both"/>
      </w:pPr>
      <w:r>
        <w:t>Sobre o valor gasto mensalmente com serviços contábeis, a maior parte dos participantes da pesquisa (32,4%) declarou não pagar nada, pois utiliza serviços gratuitos. Em seguida, 25,4% informaram gastar entre R$ 101,00 e R$ 200,00, enquanto 15</w:t>
      </w:r>
      <w:r>
        <w:t>,5% disseram desembolsar mais de R$ 200,00. Outros 12,7% relataram custos entre R$ 51,00 e R$ 100,00 e 8,5% afirmaram gastar até R$ 50,00.</w:t>
      </w:r>
    </w:p>
    <w:p w14:paraId="5D62AD78" w14:textId="77777777" w:rsidR="00643609" w:rsidRDefault="000651AA">
      <w:pPr>
        <w:keepNext/>
        <w:spacing w:before="360" w:after="240" w:line="360" w:lineRule="auto"/>
      </w:pPr>
      <w:r>
        <w:rPr>
          <w:b/>
        </w:rPr>
        <w:lastRenderedPageBreak/>
        <w:t>4.3 Grau de satisfação com serviços contábeis recebidos</w:t>
      </w:r>
    </w:p>
    <w:p w14:paraId="2DA5C9EF" w14:textId="77777777" w:rsidR="00643609" w:rsidRDefault="000651AA">
      <w:pPr>
        <w:spacing w:after="0" w:line="360" w:lineRule="auto"/>
        <w:ind w:firstLine="709"/>
        <w:jc w:val="both"/>
      </w:pPr>
      <w:r>
        <w:t xml:space="preserve">A qualidade e a eficiência dos serviços contábeis são </w:t>
      </w:r>
      <w:r>
        <w:t xml:space="preserve">fatores determinantes para que o microempreendedor individual consiga manter a regularidade de suas obrigações e organizar melhor a gestão do negócio. Nesse sentido, essa seção tem como objetivo oferecer diretrizes que visam alinhar a atuação do contador, </w:t>
      </w:r>
      <w:r>
        <w:t>na contribuição no suporte aos MEIs.</w:t>
      </w:r>
    </w:p>
    <w:p w14:paraId="4C409A88" w14:textId="77777777" w:rsidR="00643609" w:rsidRDefault="000651AA">
      <w:pPr>
        <w:spacing w:after="0" w:line="360" w:lineRule="auto"/>
        <w:ind w:firstLine="709"/>
        <w:jc w:val="both"/>
      </w:pPr>
      <w:r>
        <w:t>A maioria dos participantes classificou o atendimento do contador como excelente (37,9%), seguida de Bom (28,8%), uma parcela bem pequena avaliou como regular (1,5%), apenas 1,5% consideraram ruim e 30,3% preferiram não</w:t>
      </w:r>
      <w:r>
        <w:t xml:space="preserve"> informar sua opinião.</w:t>
      </w:r>
    </w:p>
    <w:p w14:paraId="657542E6" w14:textId="77777777" w:rsidR="00643609" w:rsidRDefault="000651AA">
      <w:pPr>
        <w:spacing w:after="0" w:line="360" w:lineRule="auto"/>
        <w:ind w:firstLine="709"/>
        <w:jc w:val="both"/>
      </w:pPr>
      <w:r>
        <w:t>Sobre os serviços do contador ser essencial para o MEI, a maioria, 60,8%, respondeu “Sim”, indicando concordância, 24,1% afirmaram “Em partes” e 15,2% responderam “Não. No geral, a maioria das respostas foi positiva, ou seja, acredit</w:t>
      </w:r>
      <w:r>
        <w:t>am que os serviços de um contador são essenciais.</w:t>
      </w:r>
    </w:p>
    <w:p w14:paraId="5E94562F" w14:textId="77777777" w:rsidR="00643609" w:rsidRDefault="000651AA">
      <w:pPr>
        <w:spacing w:after="0" w:line="360" w:lineRule="auto"/>
        <w:ind w:firstLine="709"/>
        <w:jc w:val="both"/>
      </w:pPr>
      <w:r>
        <w:t>Segundo Chupel</w:t>
      </w:r>
      <w:r>
        <w:rPr>
          <w:i/>
        </w:rPr>
        <w:t xml:space="preserve"> et al</w:t>
      </w:r>
      <w:r>
        <w:t>. (2014), o contador tem a função de fornecer informações úteis, claras e objetivas ao empresário. O acompanhamento da contabilidade com o MEI ajuda no processo de desenvolvimento de açõ</w:t>
      </w:r>
      <w:r>
        <w:t>es e estratégias para melhorar o desempenho no meio empresarial, possibilitando ao empresário uma oportunidade de crescimento e valorização do mesmo, além de toda assessoria necessária, trazendo segurança e andamento para o futuro do negócio, diminuindo os</w:t>
      </w:r>
      <w:r>
        <w:t xml:space="preserve"> riscos e dando suporte para o crescimento da empresa de forma eficaz.</w:t>
      </w:r>
    </w:p>
    <w:p w14:paraId="7BBB20BD" w14:textId="77777777" w:rsidR="00643609" w:rsidRDefault="000651AA">
      <w:pPr>
        <w:spacing w:after="0" w:line="360" w:lineRule="auto"/>
        <w:ind w:firstLine="709"/>
        <w:jc w:val="both"/>
      </w:pPr>
      <w:r>
        <w:t>Os participantes foram questionados sobre o contador ajudar a manter a empresa mais organizada financeiramente, a maior parte dos respondentes (71,4%) declarou que “Sim”, enquanto 20,8%</w:t>
      </w:r>
      <w:r>
        <w:t xml:space="preserve"> responderam “Não” e 7,8% optaram por “Prefiro não informar”. Isso demonstra que o contador ajuda nas organizações financeiras dos MEIs.</w:t>
      </w:r>
    </w:p>
    <w:p w14:paraId="54E3E06E" w14:textId="77777777" w:rsidR="00643609" w:rsidRDefault="000651AA">
      <w:pPr>
        <w:keepNext/>
        <w:keepLines/>
        <w:spacing w:before="240" w:after="120" w:line="240" w:lineRule="auto"/>
      </w:pPr>
      <w:r>
        <w:rPr>
          <w:b/>
          <w:sz w:val="20"/>
        </w:rPr>
        <w:lastRenderedPageBreak/>
        <w:t>Figura 6:</w:t>
      </w:r>
      <w:r>
        <w:rPr>
          <w:sz w:val="20"/>
        </w:rPr>
        <w:t xml:space="preserve"> O que poderia melhorar no serviço do contador?</w:t>
      </w:r>
    </w:p>
    <w:p w14:paraId="4525B9D9" w14:textId="77777777" w:rsidR="00643609" w:rsidRDefault="000651AA">
      <w:pPr>
        <w:keepNext/>
        <w:spacing w:before="120" w:after="120"/>
        <w:jc w:val="center"/>
      </w:pPr>
      <w:r>
        <w:rPr>
          <w:noProof/>
        </w:rPr>
        <w:drawing>
          <wp:inline distT="0" distB="0" distL="0" distR="0" wp14:anchorId="0F869136" wp14:editId="387D8222">
            <wp:extent cx="5753100" cy="317303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7_reg21.png"/>
                    <pic:cNvPicPr/>
                  </pic:nvPicPr>
                  <pic:blipFill>
                    <a:blip r:embed="rId14"/>
                    <a:stretch>
                      <a:fillRect/>
                    </a:stretch>
                  </pic:blipFill>
                  <pic:spPr>
                    <a:xfrm>
                      <a:off x="0" y="0"/>
                      <a:ext cx="5753100" cy="3173032"/>
                    </a:xfrm>
                    <a:prstGeom prst="rect">
                      <a:avLst/>
                    </a:prstGeom>
                  </pic:spPr>
                </pic:pic>
              </a:graphicData>
            </a:graphic>
          </wp:inline>
        </w:drawing>
      </w:r>
    </w:p>
    <w:p w14:paraId="53578429" w14:textId="77777777" w:rsidR="00643609" w:rsidRDefault="000651AA">
      <w:pPr>
        <w:spacing w:after="0" w:line="360" w:lineRule="auto"/>
        <w:ind w:firstLine="709"/>
        <w:jc w:val="both"/>
      </w:pPr>
      <w:r>
        <w:t>A Figura 6 evidencia as principais expectativas dos clientes</w:t>
      </w:r>
      <w:r>
        <w:t xml:space="preserve"> em relação à atuação contábil. O item mais citado foi “Comunicação mais clara e constante”, com 15,79% das respostas, indicando uma necessidade evidente de melhoria na forma como as informações são transmitidas aos clientes.</w:t>
      </w:r>
    </w:p>
    <w:p w14:paraId="5F75F9ED" w14:textId="77777777" w:rsidR="00643609" w:rsidRDefault="000651AA">
      <w:pPr>
        <w:spacing w:after="0" w:line="360" w:lineRule="auto"/>
        <w:ind w:firstLine="709"/>
        <w:jc w:val="both"/>
      </w:pPr>
      <w:r>
        <w:t>Outros aspectos relevantes inc</w:t>
      </w:r>
      <w:r>
        <w:t xml:space="preserve">luem “Educação financeira para o cliente” (13,68%) e “Acompanhamento contínuo” (10,53%), reforçando o desejo dos clientes por um serviço mais consultivo. Também se destacaram: “Atualização constante sobre leis” (9,48%), “Atendimento personalizado” (8,95%) </w:t>
      </w:r>
      <w:r>
        <w:t>e “Tecnologia e ferramentas de gestão” (8,95%). A resposta “Prefiro não informar”, selecionada por 12,63% dos participantes, sugere que uma parcela significativa do público talvez não saiba apontar melhorias específicas ou prefira não se posicionar sobre o</w:t>
      </w:r>
      <w:r>
        <w:t xml:space="preserve"> tema.</w:t>
      </w:r>
    </w:p>
    <w:p w14:paraId="4C01DB8E" w14:textId="77777777" w:rsidR="00643609" w:rsidRDefault="000651AA">
      <w:pPr>
        <w:spacing w:after="0" w:line="360" w:lineRule="auto"/>
        <w:ind w:firstLine="709"/>
        <w:jc w:val="both"/>
      </w:pPr>
      <w:r>
        <w:t>Os resultados obtidos demonstram que os clientes esperam mais do contador do que apenas o cumprimento das obrigações legais. A comunicação aparece como o principal ponto de atenção, o que pode estar relacionado à linguagem técnica utilizada, à demor</w:t>
      </w:r>
      <w:r>
        <w:t>a nos retornos ou à falta de atualizações regulares sobre a situação contábil e fiscal da empresa, com esse resultado percebe-se que os contadores deveriam prestar mais assistência para que o MEI possa buscar o auxílio do contador, mesmo que não seja obrig</w:t>
      </w:r>
      <w:r>
        <w:t>atório por lei.</w:t>
      </w:r>
    </w:p>
    <w:p w14:paraId="7E50A3FC" w14:textId="77777777" w:rsidR="00643609" w:rsidRDefault="000651AA">
      <w:pPr>
        <w:keepNext/>
        <w:spacing w:before="360" w:after="240" w:line="360" w:lineRule="auto"/>
      </w:pPr>
      <w:r>
        <w:rPr>
          <w:b/>
        </w:rPr>
        <w:lastRenderedPageBreak/>
        <w:t>5 CONSIDERAÇÕES FINAIS</w:t>
      </w:r>
    </w:p>
    <w:p w14:paraId="76AFECBC" w14:textId="77777777" w:rsidR="00643609" w:rsidRDefault="000651AA">
      <w:pPr>
        <w:spacing w:after="0" w:line="360" w:lineRule="auto"/>
        <w:ind w:firstLine="709"/>
        <w:jc w:val="both"/>
      </w:pPr>
      <w:r>
        <w:t>O presente estudo teve como objetivo investigar de que maneira a atuação do contador contribui para auxiliar os Microempreendedores Individuais (MEIs), considerando o perfil socioeconômico dos participantes, a utiliza</w:t>
      </w:r>
      <w:r>
        <w:t>ção dos serviços contábeis e o grau de satisfação em relação ao apoio recebido.</w:t>
      </w:r>
    </w:p>
    <w:p w14:paraId="5619E19B" w14:textId="77777777" w:rsidR="00643609" w:rsidRDefault="000651AA">
      <w:pPr>
        <w:spacing w:after="0" w:line="360" w:lineRule="auto"/>
        <w:ind w:firstLine="709"/>
        <w:jc w:val="both"/>
      </w:pPr>
      <w:r>
        <w:t>A pesquisa contou com 79 respostas válidas provenientes de Microempreendedores Individuais de Londrina-PR que participaram voluntariamente do levantamento. Os resultados descre</w:t>
      </w:r>
      <w:r>
        <w:t>vem as características e percepções dos participantes acerca da utilização e da contribuição dos serviços contábeis, devendo ser interpretados considerando o desenho não probabilístico da amostra.</w:t>
      </w:r>
    </w:p>
    <w:p w14:paraId="39F0D425" w14:textId="77777777" w:rsidR="00643609" w:rsidRDefault="000651AA">
      <w:pPr>
        <w:spacing w:after="0" w:line="360" w:lineRule="auto"/>
        <w:ind w:firstLine="709"/>
        <w:jc w:val="both"/>
      </w:pPr>
      <w:r>
        <w:t>O levantamento do perfil socioeconômico revelou predominânc</w:t>
      </w:r>
      <w:r>
        <w:t>ia feminina entre os participantes (60,3%), com maior concentração na faixa etária de 31 a 40 anos (30,4%). A maioria possui, ao menos, o ensino médio completo, e parte significativa busca qualificação superior. Esses dados evidenciam que os MEIs represent</w:t>
      </w:r>
      <w:r>
        <w:t>am um grupo composto por pessoas em diferentes fases da vida profissional.</w:t>
      </w:r>
    </w:p>
    <w:p w14:paraId="67076B4D" w14:textId="77777777" w:rsidR="00643609" w:rsidRDefault="000651AA">
      <w:pPr>
        <w:spacing w:after="0" w:line="360" w:lineRule="auto"/>
        <w:ind w:firstLine="709"/>
        <w:jc w:val="both"/>
      </w:pPr>
      <w:r>
        <w:t>Quanto à utilização dos serviços contábeis, 57% dos participantes afirmaram recorrer ao apoio profissional, sendo a Declaração Anual do MEI (DASN-SIMEI) o serviço mais demandado, se</w:t>
      </w:r>
      <w:r>
        <w:t>guida pela abertura de empresas e emissão do DAS. Apesar disso, 43% optam por utilizar os serviços de contador.</w:t>
      </w:r>
    </w:p>
    <w:p w14:paraId="22AC5D57" w14:textId="77777777" w:rsidR="00643609" w:rsidRDefault="000651AA">
      <w:pPr>
        <w:spacing w:after="0" w:line="360" w:lineRule="auto"/>
        <w:ind w:firstLine="709"/>
        <w:jc w:val="both"/>
      </w:pPr>
      <w:r>
        <w:t>No que se refere à satisfação, a maioria avaliou o atendimento como excelente ou bom, e 71,4% afirmaram que o contador contribui para manter a e</w:t>
      </w:r>
      <w:r>
        <w:t>mpresa mais organizada financeiramente. Porém, com 15,79% dos MEIs que responderam à pesquisa informaram que desejam comunicação mais clara e constante da parte do contador.</w:t>
      </w:r>
    </w:p>
    <w:p w14:paraId="49858974" w14:textId="77777777" w:rsidR="00643609" w:rsidRDefault="000651AA">
      <w:pPr>
        <w:spacing w:after="0" w:line="360" w:lineRule="auto"/>
        <w:ind w:firstLine="709"/>
        <w:jc w:val="both"/>
      </w:pPr>
      <w:r>
        <w:t>Entre as limitações deste estudo, destacam-se a utilização de amostragem não proba</w:t>
      </w:r>
      <w:r>
        <w:t xml:space="preserve">bilística por conveniência e adesão voluntária, a delimitação da pesquisa aos MEIs de Londrina-PR e a utilização exclusiva de questões fechadas. A participação ficou restrita aos microempreendedores cujos contatos estavam disponíveis nas bases consultadas </w:t>
      </w:r>
      <w:r>
        <w:t>e que decidiram responder ao questionário, o que pode ter ocasionado viés de autoseleção. Além disso, o instrumento não permitiu explorar em profundidade aspectos qualitativos das percepções dos participantes. Dessa forma, os resultados descrevem a amostra</w:t>
      </w:r>
      <w:r>
        <w:t xml:space="preserve"> analisada e não </w:t>
      </w:r>
      <w:r>
        <w:lastRenderedPageBreak/>
        <w:t>devem ser generalizados para a totalidade dos Microempreendedores Individuais de Londrina-PR.</w:t>
      </w:r>
    </w:p>
    <w:p w14:paraId="22F6FF7C" w14:textId="77777777" w:rsidR="00643609" w:rsidRDefault="000651AA">
      <w:pPr>
        <w:spacing w:after="0" w:line="360" w:lineRule="auto"/>
        <w:ind w:firstLine="709"/>
        <w:jc w:val="both"/>
      </w:pPr>
      <w:r>
        <w:t>Assim, recomenda-se que futuras pesquisas ampliem o escopo geográfico, adotem abordagens qualitativas e investiguem comparativamente diferentes r</w:t>
      </w:r>
      <w:r>
        <w:t>egiões e setores de atuação do MEI, de modo a aprofundar a compreensão do papel do contador nesse contexto.</w:t>
      </w:r>
    </w:p>
    <w:p w14:paraId="78B3F170" w14:textId="77777777" w:rsidR="00643609" w:rsidRDefault="000651AA">
      <w:pPr>
        <w:spacing w:after="0" w:line="360" w:lineRule="auto"/>
        <w:ind w:firstLine="709"/>
        <w:jc w:val="both"/>
      </w:pPr>
      <w:r>
        <w:t>Diante das dificuldades enfrentadas pelos Microempreendedores Individuais na gestão de seus negócios, conclui-se que a atuação do contador impacta d</w:t>
      </w:r>
      <w:r>
        <w:t>iretamente, proporcionando segurança, organização e conformidade legal. Os resultados da pesquisa mostram que, embora o MEI possa gerir seu negócio de forma independente, a presença do contador, é um diferencial significativo, especialmente na eficiência f</w:t>
      </w:r>
      <w:r>
        <w:t>inanceira e no cumprimento das obrigações fiscais, assegurando maior organização nas finanças, orientando quanto às exigências legais, reduzindo riscos de irregularidades e contribuindo para que o MEI concentre seus esforços no fortalecimento e crescimento</w:t>
      </w:r>
      <w:r>
        <w:t xml:space="preserve"> da empresa. Portanto, a atuação do contador se confirma como estratégica para assegurar a regularidade quanto para apoiar o desenvolvimento sustentável do empreendedorismo individual.</w:t>
      </w:r>
    </w:p>
    <w:p w14:paraId="2A425B23" w14:textId="77777777" w:rsidR="00643609" w:rsidRDefault="000651AA">
      <w:pPr>
        <w:keepNext/>
        <w:spacing w:before="360" w:after="240" w:line="240" w:lineRule="auto"/>
      </w:pPr>
      <w:r>
        <w:rPr>
          <w:b/>
        </w:rPr>
        <w:t>REFERÊNCIAS</w:t>
      </w:r>
    </w:p>
    <w:p w14:paraId="4EAF1486" w14:textId="77777777" w:rsidR="00643609" w:rsidRDefault="000651AA">
      <w:pPr>
        <w:spacing w:after="0" w:line="240" w:lineRule="auto"/>
        <w:jc w:val="both"/>
      </w:pPr>
      <w:r>
        <w:t xml:space="preserve">BERGAMO, S. A. P.; PEREIRA, T. P. A importância do </w:t>
      </w:r>
      <w:r>
        <w:t>contador ao</w:t>
      </w:r>
    </w:p>
    <w:p w14:paraId="2DB3251C" w14:textId="77777777" w:rsidR="00643609" w:rsidRDefault="000651AA">
      <w:pPr>
        <w:spacing w:after="240" w:line="240" w:lineRule="auto"/>
      </w:pPr>
      <w:r>
        <w:t>microempreendedor individual (MEI).</w:t>
      </w:r>
      <w:r>
        <w:rPr>
          <w:i/>
        </w:rPr>
        <w:t xml:space="preserve"> Revista Eletrônica de Ciências Contábeis FACCAT</w:t>
      </w:r>
      <w:r>
        <w:t>, v. 11, n. 2, 2022. Disponível em: https://seer.faccat.br/index.php/contabeis/article/view/2515. Acesso em: 13 set. 2026.</w:t>
      </w:r>
    </w:p>
    <w:p w14:paraId="4CA36123" w14:textId="77777777" w:rsidR="00643609" w:rsidRDefault="000651AA">
      <w:pPr>
        <w:spacing w:after="240" w:line="240" w:lineRule="auto"/>
      </w:pPr>
      <w:r>
        <w:t>BRASIL. Lei Complementar nº 128, de 19</w:t>
      </w:r>
      <w:r>
        <w:t xml:space="preserve"> de dezembro de 2008. Altera a Lei Complementar nº 123, de 14 de dezembro de 2006. Disponível em: http://www.planalto.gov.br/ccivil_03/leis/lcp/lcp128.htm. Acesso em: 13 set. 2026.</w:t>
      </w:r>
    </w:p>
    <w:p w14:paraId="32D25DDF" w14:textId="77777777" w:rsidR="00643609" w:rsidRDefault="000651AA">
      <w:pPr>
        <w:spacing w:after="240" w:line="240" w:lineRule="auto"/>
      </w:pPr>
      <w:r>
        <w:t>BRASIL. Ministério da Economia.</w:t>
      </w:r>
      <w:r>
        <w:rPr>
          <w:i/>
        </w:rPr>
        <w:t xml:space="preserve"> Portal do Empreendedor: MEI – Microempreend</w:t>
      </w:r>
      <w:r>
        <w:rPr>
          <w:i/>
        </w:rPr>
        <w:t>edor Individual</w:t>
      </w:r>
      <w:r>
        <w:t>. Brasília: Governo Federal, 2025. Disponível em: https://www.gov.br/empresas-e-negocios/pt-br/empreendedor. Acesso em: 13 set. 2026.</w:t>
      </w:r>
    </w:p>
    <w:p w14:paraId="4B680BE7" w14:textId="77777777" w:rsidR="00643609" w:rsidRDefault="000651AA">
      <w:pPr>
        <w:spacing w:after="240" w:line="240" w:lineRule="auto"/>
      </w:pPr>
      <w:r>
        <w:t>BRASIL. Ministério do Empreendedorismo, da Microempresa e da Empresa de Pequeno Porte.</w:t>
      </w:r>
      <w:r>
        <w:rPr>
          <w:i/>
        </w:rPr>
        <w:t xml:space="preserve"> Boletim do 1º quadri</w:t>
      </w:r>
      <w:r>
        <w:rPr>
          <w:i/>
        </w:rPr>
        <w:t>mestre/2024</w:t>
      </w:r>
      <w:r>
        <w:t>. Brasília, 2024. Disponível em: https://gov.br/mapadeempresas. Acesso em: 13 set. 2026.</w:t>
      </w:r>
    </w:p>
    <w:p w14:paraId="719D793A" w14:textId="77777777" w:rsidR="00643609" w:rsidRDefault="000651AA">
      <w:pPr>
        <w:spacing w:after="240" w:line="240" w:lineRule="auto"/>
      </w:pPr>
      <w:r>
        <w:t>BUTIGNON, R. L.</w:t>
      </w:r>
      <w:r>
        <w:rPr>
          <w:i/>
        </w:rPr>
        <w:t xml:space="preserve"> MEI: como formalizar e gerenciar empresas</w:t>
      </w:r>
      <w:r>
        <w:t>. São Paulo: Expressa, 2021. E-book.</w:t>
      </w:r>
    </w:p>
    <w:p w14:paraId="41409DE2" w14:textId="77777777" w:rsidR="00643609" w:rsidRDefault="000651AA">
      <w:pPr>
        <w:spacing w:after="240" w:line="240" w:lineRule="auto"/>
      </w:pPr>
      <w:r>
        <w:lastRenderedPageBreak/>
        <w:t>CHUPEL, J. F.; SOBRAL, E.; BARELLA, L. A. A importância da con</w:t>
      </w:r>
      <w:r>
        <w:t>tabilidade para microempreendedor individual.</w:t>
      </w:r>
      <w:r>
        <w:rPr>
          <w:i/>
        </w:rPr>
        <w:t xml:space="preserve"> Revista Eletrônica da Faculdade de Alta Floresta</w:t>
      </w:r>
      <w:r>
        <w:t>, v. 3, n. 2, 2014.</w:t>
      </w:r>
    </w:p>
    <w:p w14:paraId="66F5ABA9" w14:textId="77777777" w:rsidR="00643609" w:rsidRDefault="000651AA">
      <w:pPr>
        <w:spacing w:after="240" w:line="240" w:lineRule="auto"/>
      </w:pPr>
      <w:r>
        <w:t>CONTÁBEIS. Pesquisa revela que apenas 17% dos MEIs buscam serviços contábeis.</w:t>
      </w:r>
      <w:r>
        <w:rPr>
          <w:i/>
        </w:rPr>
        <w:t xml:space="preserve"> Portal Contábeis</w:t>
      </w:r>
      <w:r>
        <w:t xml:space="preserve">, 15 ago. 2024. Disponível em: </w:t>
      </w:r>
      <w:r>
        <w:t>https://www.contabeis.com.br/noticias/66642/apenas-17-dos-meis-utilizam-servicos-de-contabilidade/. Acesso em: 13 set. 2026.</w:t>
      </w:r>
    </w:p>
    <w:p w14:paraId="79C753F3" w14:textId="77777777" w:rsidR="00643609" w:rsidRDefault="000651AA">
      <w:pPr>
        <w:spacing w:after="240" w:line="240" w:lineRule="auto"/>
      </w:pPr>
      <w:r>
        <w:t>FARIA, B. S. et al. Perfil do microempreendedor individual: uma análise na cidade de Volta Redonda. In:</w:t>
      </w:r>
      <w:r>
        <w:rPr>
          <w:b/>
        </w:rPr>
        <w:t xml:space="preserve"> SIMPÓSIO DE EXCELÊNCIA EM G</w:t>
      </w:r>
      <w:r>
        <w:rPr>
          <w:b/>
        </w:rPr>
        <w:t>ESTÃO E TECNOLOGIA (SEGeT)</w:t>
      </w:r>
      <w:r>
        <w:t>, 12., 2015, Resende.</w:t>
      </w:r>
      <w:r>
        <w:rPr>
          <w:i/>
        </w:rPr>
        <w:t xml:space="preserve"> Anais...</w:t>
      </w:r>
      <w:r>
        <w:t xml:space="preserve"> Resende: Associação Educacional Dom Bosco – AEDB, 2015.</w:t>
      </w:r>
    </w:p>
    <w:p w14:paraId="6EEC7E25" w14:textId="77777777" w:rsidR="00643609" w:rsidRDefault="000651AA">
      <w:pPr>
        <w:spacing w:after="240" w:line="240" w:lineRule="auto"/>
      </w:pPr>
      <w:r>
        <w:t>FORMOSO, I. R.; COSTA, S. M. F. A presença da mulher microempreendedora individual no mercado de trabalho na RMVPLN, SP: um estudo exploratório</w:t>
      </w:r>
      <w:r>
        <w:t>.</w:t>
      </w:r>
      <w:r>
        <w:rPr>
          <w:i/>
        </w:rPr>
        <w:t xml:space="preserve"> Gestão &amp; Regionalidade</w:t>
      </w:r>
      <w:r>
        <w:t>, v. 39, 2023. Disponível em: https://doi.org/10.13037/gr.2023.7967.</w:t>
      </w:r>
    </w:p>
    <w:p w14:paraId="01B04ECD" w14:textId="77777777" w:rsidR="00643609" w:rsidRDefault="000651AA">
      <w:pPr>
        <w:spacing w:after="240" w:line="240" w:lineRule="auto"/>
      </w:pPr>
      <w:r>
        <w:t>GIL, A. C.</w:t>
      </w:r>
      <w:r>
        <w:rPr>
          <w:i/>
        </w:rPr>
        <w:t xml:space="preserve"> Métodos e técnicas de pesquisa social</w:t>
      </w:r>
      <w:r>
        <w:t>. 6. ed. São Paulo: Atlas, 2008.</w:t>
      </w:r>
    </w:p>
    <w:p w14:paraId="63CBBD9A" w14:textId="77777777" w:rsidR="00643609" w:rsidRDefault="000651AA">
      <w:pPr>
        <w:spacing w:after="240" w:line="240" w:lineRule="auto"/>
      </w:pPr>
      <w:r>
        <w:t>GIMENEZ, F. A. P.; FERREIRA, J. M.; RAMOS, S. C. Empreendedorismo feminino no Bras</w:t>
      </w:r>
      <w:r>
        <w:t>il: gênese e formação de um campo de pesquisa.</w:t>
      </w:r>
      <w:r>
        <w:rPr>
          <w:i/>
        </w:rPr>
        <w:t xml:space="preserve"> REGEPE – Revista de Empreendedorismo e Gestão de Pequenas Empresas</w:t>
      </w:r>
      <w:r>
        <w:t>, v. 6, n. 1, p. 40–74, 2017. Disponível em: https://regepe.org.br/regepe/article/view/450. Acesso em: 13 set. 2026.</w:t>
      </w:r>
    </w:p>
    <w:p w14:paraId="1A35A074" w14:textId="77777777" w:rsidR="00643609" w:rsidRDefault="000651AA">
      <w:pPr>
        <w:spacing w:after="240" w:line="240" w:lineRule="auto"/>
      </w:pPr>
      <w:r>
        <w:t>GONÇALVES, L. D.</w:t>
      </w:r>
      <w:r>
        <w:rPr>
          <w:i/>
        </w:rPr>
        <w:t xml:space="preserve"> A importâ</w:t>
      </w:r>
      <w:r>
        <w:rPr>
          <w:i/>
        </w:rPr>
        <w:t>ncia da contabilidade para o sucesso das microempresas individuais</w:t>
      </w:r>
      <w:r>
        <w:t>. Criciúma: Universidade do Extremo Sul Catarinense, 2023. Disponível em: https://repositorio.unesc.net/items/5920e3fb-0831-4a0b-988e-b6ca4a36b419, Acesso em: 13 set. 2026</w:t>
      </w:r>
    </w:p>
    <w:p w14:paraId="16595504" w14:textId="77777777" w:rsidR="00643609" w:rsidRDefault="000651AA">
      <w:pPr>
        <w:spacing w:after="240" w:line="240" w:lineRule="auto"/>
      </w:pPr>
      <w:r>
        <w:t>HISRICH, R. D.; PE</w:t>
      </w:r>
      <w:r>
        <w:t>TERS, M. P.; SHEPHERD, D. A.</w:t>
      </w:r>
      <w:r>
        <w:rPr>
          <w:i/>
        </w:rPr>
        <w:t xml:space="preserve"> Empreendedorismo</w:t>
      </w:r>
      <w:r>
        <w:t>. 9. ed. Porto Alegre: AMGH, 2014.</w:t>
      </w:r>
    </w:p>
    <w:p w14:paraId="7C1F29E1" w14:textId="77777777" w:rsidR="00643609" w:rsidRDefault="000651AA">
      <w:pPr>
        <w:spacing w:after="240" w:line="240" w:lineRule="auto"/>
      </w:pPr>
      <w:r>
        <w:t>INSTITUTO BRASILEIRO DE GEOGRAFIA E ESTATÍSTICA (IBGE). Em 2022, Brasil tinha 14,6 milhões de microempreendedores individuais.</w:t>
      </w:r>
      <w:r>
        <w:rPr>
          <w:i/>
        </w:rPr>
        <w:t xml:space="preserve"> Agência de Notícias IBGE</w:t>
      </w:r>
      <w:r>
        <w:t>, 21 ago. 2024. Disponíve</w:t>
      </w:r>
      <w:r>
        <w:t>l em: https://agenciadenoticias.ibge.gov.br/media/com_mediaibge/arquivos/3f98b7eb14543b18d4ca6a693cacaff5.pdf. Acesso em: 13 set. 2026.</w:t>
      </w:r>
    </w:p>
    <w:p w14:paraId="52969C1E" w14:textId="77777777" w:rsidR="00643609" w:rsidRDefault="000651AA">
      <w:pPr>
        <w:spacing w:after="240" w:line="240" w:lineRule="auto"/>
      </w:pPr>
      <w:r>
        <w:t>IUDÍCIBUS, S.; MARION, J. C.</w:t>
      </w:r>
      <w:r>
        <w:rPr>
          <w:i/>
        </w:rPr>
        <w:t xml:space="preserve"> Curso de contabilidade para não contadores</w:t>
      </w:r>
      <w:r>
        <w:t>. 9. ed. Rio de Janeiro: Atlas, 2022.</w:t>
      </w:r>
    </w:p>
    <w:p w14:paraId="76EFFCA4" w14:textId="77777777" w:rsidR="00643609" w:rsidRDefault="000651AA">
      <w:pPr>
        <w:spacing w:after="240" w:line="240" w:lineRule="auto"/>
      </w:pPr>
      <w:r>
        <w:t xml:space="preserve">IUDÍCIBUS, </w:t>
      </w:r>
      <w:r>
        <w:t>S.; MARION, J. C.; FARIA, A. C.</w:t>
      </w:r>
      <w:r>
        <w:rPr>
          <w:i/>
        </w:rPr>
        <w:t xml:space="preserve"> Introdução à teoria da contabilidade: para graduação</w:t>
      </w:r>
      <w:r>
        <w:t>. 6. ed. Rio de Janeiro: Atlas, 2018.</w:t>
      </w:r>
    </w:p>
    <w:p w14:paraId="6FBC264C" w14:textId="77777777" w:rsidR="00643609" w:rsidRDefault="000651AA">
      <w:pPr>
        <w:spacing w:after="240" w:line="240" w:lineRule="auto"/>
      </w:pPr>
      <w:r>
        <w:t>MACHADO, V. T.</w:t>
      </w:r>
      <w:r>
        <w:rPr>
          <w:i/>
        </w:rPr>
        <w:t xml:space="preserve"> et al</w:t>
      </w:r>
      <w:r>
        <w:t>. Microempreendedor individual: uma análise dos desafios enfrentados na pandemia da Covid-19.</w:t>
      </w:r>
      <w:r>
        <w:rPr>
          <w:i/>
        </w:rPr>
        <w:t xml:space="preserve"> Brazilian Journal of</w:t>
      </w:r>
      <w:r>
        <w:rPr>
          <w:i/>
        </w:rPr>
        <w:t xml:space="preserve"> Development</w:t>
      </w:r>
      <w:r>
        <w:t>, v. 7, n. 5, p. 49776–49793, 2021. Disponível em: https://doi.org/10.34117/bjdv.v7i5.29973.</w:t>
      </w:r>
    </w:p>
    <w:p w14:paraId="2016223B" w14:textId="77777777" w:rsidR="00643609" w:rsidRDefault="000651AA">
      <w:pPr>
        <w:spacing w:after="240" w:line="240" w:lineRule="auto"/>
      </w:pPr>
      <w:r>
        <w:lastRenderedPageBreak/>
        <w:t>MAISMEI.</w:t>
      </w:r>
      <w:r>
        <w:rPr>
          <w:i/>
        </w:rPr>
        <w:t xml:space="preserve"> MEI Microempreendedor Individual em Londrina, PR</w:t>
      </w:r>
      <w:r>
        <w:t>. 2025. Disponível em: https://www.maismei.com.br/mei-microempreendedor-individual-londrina-pr</w:t>
      </w:r>
      <w:r>
        <w:t>. Acesso em: 13 set. 2026.</w:t>
      </w:r>
    </w:p>
    <w:p w14:paraId="0C2BE536" w14:textId="77777777" w:rsidR="00643609" w:rsidRDefault="000651AA">
      <w:pPr>
        <w:spacing w:after="240" w:line="240" w:lineRule="auto"/>
      </w:pPr>
      <w:r>
        <w:t>MOREIRA, E. S.</w:t>
      </w:r>
      <w:r>
        <w:rPr>
          <w:i/>
        </w:rPr>
        <w:t xml:space="preserve"> et al.</w:t>
      </w:r>
      <w:r>
        <w:t xml:space="preserve"> O perfil do microempreendedor individual nacional.</w:t>
      </w:r>
      <w:r>
        <w:rPr>
          <w:i/>
        </w:rPr>
        <w:t xml:space="preserve"> Revista Tecnológica da UniFatec-PR</w:t>
      </w:r>
      <w:r>
        <w:t xml:space="preserve">, v. 12, n. 1, 2022. Disponível em: https://chamadosfatecpr.com.br/revista/index.php/fatec/article/view/61. Acesso em: 13 </w:t>
      </w:r>
      <w:r>
        <w:t>set. 2026.</w:t>
      </w:r>
    </w:p>
    <w:p w14:paraId="0B050FCD" w14:textId="77777777" w:rsidR="00643609" w:rsidRDefault="000651AA">
      <w:pPr>
        <w:spacing w:after="240" w:line="240" w:lineRule="auto"/>
      </w:pPr>
      <w:r>
        <w:t>RIBEIRO, O. M.</w:t>
      </w:r>
      <w:r>
        <w:rPr>
          <w:i/>
        </w:rPr>
        <w:t xml:space="preserve"> Contabilidade básica</w:t>
      </w:r>
      <w:r>
        <w:t>. 4. ed. Rio de Janeiro: Saraiva Uni, 2018.</w:t>
      </w:r>
    </w:p>
    <w:p w14:paraId="5C3BF460" w14:textId="77777777" w:rsidR="00643609" w:rsidRDefault="000651AA">
      <w:pPr>
        <w:spacing w:after="240" w:line="240" w:lineRule="auto"/>
      </w:pPr>
      <w:r>
        <w:t>SANTOS, M. R. V.; FREITAS, D. C. S. Microempreendedor individual e suas facilidades para o trabalhador sair da informalidade.</w:t>
      </w:r>
      <w:r>
        <w:rPr>
          <w:i/>
        </w:rPr>
        <w:t xml:space="preserve"> Diálogos em Contabilidade: teoria e prát</w:t>
      </w:r>
      <w:r>
        <w:rPr>
          <w:i/>
        </w:rPr>
        <w:t>ica</w:t>
      </w:r>
      <w:r>
        <w:t>, v. 6, n. 1, p. 1–23, 2018.</w:t>
      </w:r>
    </w:p>
    <w:p w14:paraId="031AFCF7" w14:textId="77777777" w:rsidR="00643609" w:rsidRDefault="000651AA">
      <w:pPr>
        <w:spacing w:after="240" w:line="240" w:lineRule="auto"/>
      </w:pPr>
      <w:r>
        <w:t>SEBRAE.</w:t>
      </w:r>
      <w:r>
        <w:rPr>
          <w:i/>
        </w:rPr>
        <w:t xml:space="preserve"> Conheça mais sobre o papel do contador</w:t>
      </w:r>
      <w:r>
        <w:t>. 2022. Disponível em: https://sebrae.com.br/sites/PortalSebrae/ufs/ms/sebraeaz/conheca-mais-sobre-o-papel-do-contador. Acesso em: 13 set. 2026.</w:t>
      </w:r>
    </w:p>
    <w:p w14:paraId="3D674D66" w14:textId="77777777" w:rsidR="00643609" w:rsidRDefault="000651AA">
      <w:pPr>
        <w:spacing w:after="240" w:line="240" w:lineRule="auto"/>
      </w:pPr>
      <w:r>
        <w:t>SEBRAE.</w:t>
      </w:r>
      <w:r>
        <w:rPr>
          <w:i/>
        </w:rPr>
        <w:t xml:space="preserve"> Pesquisa Perfil MEI: Julh</w:t>
      </w:r>
      <w:r>
        <w:rPr>
          <w:i/>
        </w:rPr>
        <w:t>o de 2024</w:t>
      </w:r>
      <w:r>
        <w:t>. Brasília, DF: SEBRAE, 2024. Disponível em: https://datasebrae.com.br/wp-content/uploads/2025/02/Apresentacao_Perfil-MEI_Sebrae_2024_ajustado_VF_11_02_25.pdf. Acesso em: 13 set. 2026.</w:t>
      </w:r>
    </w:p>
    <w:p w14:paraId="3F110857" w14:textId="77777777" w:rsidR="00643609" w:rsidRDefault="000651AA">
      <w:pPr>
        <w:spacing w:after="240" w:line="240" w:lineRule="auto"/>
      </w:pPr>
      <w:r>
        <w:t>SILVA, J. G. F.; ANDRADE, V. H. M. Gestão empresarial: um estu</w:t>
      </w:r>
      <w:r>
        <w:t>do sobre o microempreendedor individual do setor de comércio do município de São Mateus-ES.</w:t>
      </w:r>
      <w:r>
        <w:rPr>
          <w:i/>
        </w:rPr>
        <w:t xml:space="preserve"> Perspectivas em Gestão &amp; Conhecimento</w:t>
      </w:r>
      <w:r>
        <w:t>, v. 11, n. 2, p. 59–84, 2021. Disponível em: https://doi.org/10.22478/ufpb.2236-417X.2021v11n2.54968.</w:t>
      </w:r>
    </w:p>
    <w:p w14:paraId="0B79CAA0" w14:textId="77777777" w:rsidR="00643609" w:rsidRDefault="000651AA">
      <w:pPr>
        <w:spacing w:after="240" w:line="240" w:lineRule="auto"/>
      </w:pPr>
      <w:r>
        <w:t xml:space="preserve">SOUTO, T. S.; PETRI, S. </w:t>
      </w:r>
      <w:r>
        <w:t>M. O contador como aliado do microempreendedor individual: desafios e oportunidades. In: SEVEN INTERNATIONAL MULTIDISCIPLINARY CONGRESS, 4., 2023. Anais [...]. São José dos Pinhais: Seven Publicações Acadêmicas, 2023.</w:t>
      </w:r>
    </w:p>
    <w:p w14:paraId="5A5F0782" w14:textId="77777777" w:rsidR="00643609" w:rsidRDefault="000651AA">
      <w:pPr>
        <w:spacing w:after="240" w:line="240" w:lineRule="auto"/>
      </w:pPr>
      <w:r>
        <w:t>TAJRA, S. F.</w:t>
      </w:r>
      <w:r>
        <w:rPr>
          <w:i/>
        </w:rPr>
        <w:t xml:space="preserve"> Empreendedorismo: conceitos e práticas inovadoras</w:t>
      </w:r>
      <w:r>
        <w:t>. 2. ed. Rio de Janeiro: Érica, 2019.</w:t>
      </w:r>
    </w:p>
    <w:p w14:paraId="0AAFE697" w14:textId="77777777" w:rsidR="00643609" w:rsidRDefault="000651AA">
      <w:pPr>
        <w:spacing w:after="240" w:line="240" w:lineRule="auto"/>
      </w:pPr>
      <w:r>
        <w:t>VICECONTI, P.</w:t>
      </w:r>
      <w:r>
        <w:rPr>
          <w:i/>
        </w:rPr>
        <w:t xml:space="preserve"> Contabilidade básica</w:t>
      </w:r>
      <w:r>
        <w:t>. 18. ed. Rio de Janeiro: Saraiva Uni, 2017.</w:t>
      </w:r>
      <w:bookmarkStart w:id="1" w:name="art1_fim"/>
      <w:bookmarkEnd w:id="1"/>
    </w:p>
    <w:p w14:paraId="192DD299" w14:textId="77777777" w:rsidR="00643609" w:rsidRDefault="00643609">
      <w:pPr>
        <w:sectPr w:rsidR="00643609">
          <w:headerReference w:type="default" r:id="rId15"/>
          <w:footerReference w:type="default" r:id="rId16"/>
          <w:footnotePr>
            <w:numRestart w:val="eachSect"/>
          </w:footnotePr>
          <w:pgSz w:w="11906" w:h="16838"/>
          <w:pgMar w:top="1701" w:right="1134" w:bottom="1134" w:left="1701" w:header="709" w:footer="567" w:gutter="0"/>
          <w:cols w:space="720"/>
          <w:docGrid w:linePitch="360"/>
        </w:sectPr>
      </w:pPr>
    </w:p>
    <w:p w14:paraId="0DF503B6" w14:textId="77777777" w:rsidR="00643609" w:rsidRDefault="000651AA">
      <w:pPr>
        <w:keepNext/>
        <w:spacing w:before="120" w:after="120"/>
        <w:jc w:val="center"/>
      </w:pPr>
      <w:bookmarkStart w:id="2" w:name="art2_ini"/>
      <w:bookmarkEnd w:id="2"/>
      <w:r>
        <w:rPr>
          <w:noProof/>
        </w:rPr>
        <w:lastRenderedPageBreak/>
        <w:drawing>
          <wp:inline distT="0" distB="0" distL="0" distR="0" wp14:anchorId="41F63110" wp14:editId="1CC4FD12">
            <wp:extent cx="5753100" cy="85839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23_img0.png"/>
                    <pic:cNvPicPr/>
                  </pic:nvPicPr>
                  <pic:blipFill>
                    <a:blip r:embed="rId17"/>
                    <a:stretch>
                      <a:fillRect/>
                    </a:stretch>
                  </pic:blipFill>
                  <pic:spPr>
                    <a:xfrm>
                      <a:off x="0" y="0"/>
                      <a:ext cx="5753100" cy="858399"/>
                    </a:xfrm>
                    <a:prstGeom prst="rect">
                      <a:avLst/>
                    </a:prstGeom>
                  </pic:spPr>
                </pic:pic>
              </a:graphicData>
            </a:graphic>
          </wp:inline>
        </w:drawing>
      </w:r>
    </w:p>
    <w:p w14:paraId="0B9C2594" w14:textId="77777777" w:rsidR="00643609" w:rsidRDefault="000651AA">
      <w:pPr>
        <w:spacing w:before="360" w:after="0" w:line="240" w:lineRule="auto"/>
        <w:jc w:val="center"/>
      </w:pPr>
      <w:r>
        <w:rPr>
          <w:b/>
        </w:rPr>
        <w:t>ANÁLISE NA EVOLUÇÃO DOS RELATÓRIOS SOCIOAMBIENTAIS DA CEMIG</w:t>
      </w:r>
    </w:p>
    <w:p w14:paraId="005A44AF" w14:textId="77777777" w:rsidR="00643609" w:rsidRDefault="000651AA">
      <w:pPr>
        <w:spacing w:after="0" w:line="240" w:lineRule="auto"/>
        <w:jc w:val="right"/>
      </w:pPr>
      <w:r>
        <w:t>Wanessa Santiago da Costa</w:t>
      </w:r>
      <w:r>
        <w:rPr>
          <w:vertAlign w:val="superscript"/>
        </w:rPr>
        <w:footnoteReference w:id="6"/>
      </w:r>
    </w:p>
    <w:p w14:paraId="22099D9B" w14:textId="77777777" w:rsidR="00643609" w:rsidRDefault="000651AA">
      <w:pPr>
        <w:spacing w:after="0" w:line="240" w:lineRule="auto"/>
        <w:jc w:val="right"/>
      </w:pPr>
      <w:r>
        <w:t>Rodrigo Ferraz de Almeida</w:t>
      </w:r>
      <w:r>
        <w:rPr>
          <w:vertAlign w:val="superscript"/>
        </w:rPr>
        <w:footnoteReference w:id="7"/>
      </w:r>
    </w:p>
    <w:p w14:paraId="65F00758" w14:textId="77777777" w:rsidR="00643609" w:rsidRDefault="000651AA">
      <w:pPr>
        <w:keepNext/>
        <w:spacing w:before="360" w:after="240" w:line="240" w:lineRule="auto"/>
      </w:pPr>
      <w:r>
        <w:rPr>
          <w:b/>
        </w:rPr>
        <w:t>RESUMO</w:t>
      </w:r>
    </w:p>
    <w:p w14:paraId="4456A07F" w14:textId="77777777" w:rsidR="00643609" w:rsidRDefault="000651AA">
      <w:pPr>
        <w:spacing w:after="240" w:line="240" w:lineRule="auto"/>
        <w:jc w:val="both"/>
      </w:pPr>
      <w:r>
        <w:t xml:space="preserve">A Contabilidade Ambiental auxilia os gestores na direção das políticas ambientais, através da </w:t>
      </w:r>
      <w:r>
        <w:t>contabilização de eventos de natureza ambiental e sua respectiva evidenciação. O Desenvolvimento Sustentável envolve objetivos sociais, ecológicos e econômicos, que traz consigo a ideia de que a mudança é necessária para se obter um futuro melhor. A Susten</w:t>
      </w:r>
      <w:r>
        <w:t>tabilidade está associada ao aspecto financeiro dos empreendimentos das empresas. O presente artigo refere-se à Companhia Energética de Minas Gerais tendo como objetivo geral é analisar os indicadores de desenvolvimento sustentável e de impactos ambientais</w:t>
      </w:r>
      <w:r>
        <w:t xml:space="preserve"> da CEMIG no período de 2020 a 2023. O propósito e os valores estão alinhados com a evolução sustentável e redução nos impactos ambientais. A análise é documental e qualitativa, pois foi realizada por meio dos Relatórios Anuais de Responsabilidade Socioamb</w:t>
      </w:r>
      <w:r>
        <w:t>ientais. A CEMIG apresentou os indicadores ambientais como programas ambientais, dados ambientais de consumo de água e energia, emissão de gases e gestão de materiais e resíduos. A companhia propôs aperfeiçoar e melhorar seu desenvolvimento sustentável e a</w:t>
      </w:r>
      <w:r>
        <w:t>mbiental, mostrando como esses indicadores se desenvolveram a cada ano. Além disso, recomenda-se o estudo desses indicadores ambientais mais detalhadamente em empresas elétricas nos municípios brasileiros de Minas Gerais nos próximos anos. Podendo evidenci</w:t>
      </w:r>
      <w:r>
        <w:t>ar melhorias na divulgação dos relatórios com informações mais específicas sobre os indicadores ambientais.</w:t>
      </w:r>
    </w:p>
    <w:p w14:paraId="4A5806B2" w14:textId="77777777" w:rsidR="00643609" w:rsidRDefault="000651AA">
      <w:pPr>
        <w:spacing w:before="240" w:after="240" w:line="240" w:lineRule="auto"/>
        <w:jc w:val="both"/>
      </w:pPr>
      <w:r>
        <w:rPr>
          <w:b/>
        </w:rPr>
        <w:t>Palavras-chave:</w:t>
      </w:r>
      <w:r>
        <w:t xml:space="preserve"> Contabilidade Ambiental, Desenvolvimento Sustentável e</w:t>
      </w:r>
    </w:p>
    <w:p w14:paraId="2E05BD59" w14:textId="77777777" w:rsidR="00643609" w:rsidRDefault="000651AA">
      <w:pPr>
        <w:spacing w:after="240" w:line="240" w:lineRule="auto"/>
        <w:jc w:val="both"/>
      </w:pPr>
      <w:r>
        <w:t>Sustentabilidade.</w:t>
      </w:r>
    </w:p>
    <w:p w14:paraId="2D3DBB47" w14:textId="77777777" w:rsidR="00643609" w:rsidRDefault="000651AA">
      <w:pPr>
        <w:keepNext/>
        <w:spacing w:before="360" w:after="240" w:line="240" w:lineRule="auto"/>
      </w:pPr>
      <w:r>
        <w:rPr>
          <w:b/>
        </w:rPr>
        <w:t>ABSTRACT</w:t>
      </w:r>
    </w:p>
    <w:p w14:paraId="34465242" w14:textId="77777777" w:rsidR="00643609" w:rsidRDefault="000651AA">
      <w:pPr>
        <w:spacing w:after="240" w:line="240" w:lineRule="auto"/>
        <w:jc w:val="both"/>
      </w:pPr>
      <w:r>
        <w:t>Environmental accounting assists managers in guidi</w:t>
      </w:r>
      <w:r>
        <w:t>ng environmental policies by accounting for and disclosing events of an environmental nature. Sustainable development encompasses social, ecological, and economic objectives, embodying the idea that change is necessary to achieve a better future. Sustainab</w:t>
      </w:r>
      <w:r>
        <w:t>ility is linked to the financial aspects of corporate ventures. This article focuses on the *Companhia Energética de Minas Gerais* (CEMIG), with the general objective of analyzing the company's sustainable development and environmental impact indicators fr</w:t>
      </w:r>
      <w:r>
        <w:t xml:space="preserve">om 2020 </w:t>
      </w:r>
      <w:r>
        <w:lastRenderedPageBreak/>
        <w:t>to 2023. The company's purpose and values align with sustainable progress and the reduction of environmental impacts. The study employs a qualitative documentary analysis based on Annual Socio-environmental Responsibility Reports. CEMIG presented e</w:t>
      </w:r>
      <w:r>
        <w:t>nvironmental indicators covering areas such as environmental programs, water and energy consumption data, gas emissions, and materials and waste management. The company sought to enhance its sustainable and environmental performance, demonstrating the year</w:t>
      </w:r>
      <w:r>
        <w:t>-over-year evolution of these indicators. Furthermore, it is recommended that these environmental indicators be studied in greater detail within electric utility companies operating in the municipalities of Minas Gerais over the coming years, potentially h</w:t>
      </w:r>
      <w:r>
        <w:t>ighlighting improvements in reporting practices through the disclosure of more specific information regarding environmental indicators.</w:t>
      </w:r>
    </w:p>
    <w:p w14:paraId="08CE820D" w14:textId="77777777" w:rsidR="00643609" w:rsidRDefault="000651AA">
      <w:pPr>
        <w:spacing w:before="240" w:after="240" w:line="240" w:lineRule="auto"/>
        <w:jc w:val="both"/>
      </w:pPr>
      <w:r>
        <w:rPr>
          <w:b/>
        </w:rPr>
        <w:t>Keywords:</w:t>
      </w:r>
      <w:r>
        <w:t xml:space="preserve"> Environmental Accounting; Sustainable Development;</w:t>
      </w:r>
    </w:p>
    <w:p w14:paraId="755FD88E" w14:textId="77777777" w:rsidR="00643609" w:rsidRDefault="000651AA">
      <w:pPr>
        <w:spacing w:after="240" w:line="240" w:lineRule="auto"/>
        <w:jc w:val="both"/>
      </w:pPr>
      <w:r>
        <w:t>Sustainability.</w:t>
      </w:r>
    </w:p>
    <w:p w14:paraId="7903A363" w14:textId="77777777" w:rsidR="00643609" w:rsidRDefault="000651AA">
      <w:pPr>
        <w:keepNext/>
        <w:spacing w:before="360" w:after="240" w:line="360" w:lineRule="auto"/>
      </w:pPr>
      <w:r>
        <w:rPr>
          <w:b/>
        </w:rPr>
        <w:t>INTRODUÇÃO</w:t>
      </w:r>
    </w:p>
    <w:p w14:paraId="1BA00B12" w14:textId="77777777" w:rsidR="00643609" w:rsidRDefault="000651AA">
      <w:pPr>
        <w:spacing w:after="0" w:line="360" w:lineRule="auto"/>
        <w:ind w:firstLine="709"/>
        <w:jc w:val="both"/>
      </w:pPr>
      <w:r>
        <w:t>Durante muito tempo, a sustentab</w:t>
      </w:r>
      <w:r>
        <w:t>ilidade vem sendo discutida e ganhando destaque. Desde seu surgimento em 1970, esse termo é utilizado pela Organização das Nações Unidas (ONU) e pelas conferências realizadas em prol do meio ambiente (Sousa; Abdala, 2020). Com o passar dos anos, diversas c</w:t>
      </w:r>
      <w:r>
        <w:t>onferências foram realizadas com o objetivo de discutir questões ambientais, algumas das quais incluem as Conferências de Estocolmo, Rio 92, Rio +10, Rio +20 e a Conferência Intergovernamental de Tbilisi (Beskow; Mattei, 2012).</w:t>
      </w:r>
    </w:p>
    <w:p w14:paraId="65D57FFD" w14:textId="77777777" w:rsidR="00643609" w:rsidRDefault="000651AA">
      <w:pPr>
        <w:spacing w:after="0" w:line="360" w:lineRule="auto"/>
        <w:ind w:firstLine="709"/>
        <w:jc w:val="both"/>
      </w:pPr>
      <w:r>
        <w:t>Das várias conferências surg</w:t>
      </w:r>
      <w:r>
        <w:t>e o termo "Desenvolvimento Sustentável", trazendo consigo objetivos sociais, ecológicos e econômicos, afirmando que a mudança é inevitável, a fim de garantir às futuras gerações um mundo melhor, mais sustentável e menos deteriorado. Essa mudança faz com qu</w:t>
      </w:r>
      <w:r>
        <w:t>e as empresas revejam seus conceitos em relação ao meio ambiente, procurando cada vez mais demonstrar à sociedade sua preocupação com o meio ambiente e com toda a população (Sousa; Abdala, 2020).</w:t>
      </w:r>
    </w:p>
    <w:p w14:paraId="4A9BED91" w14:textId="77777777" w:rsidR="00643609" w:rsidRDefault="000651AA">
      <w:pPr>
        <w:spacing w:after="0" w:line="360" w:lineRule="auto"/>
        <w:ind w:firstLine="709"/>
        <w:jc w:val="both"/>
      </w:pPr>
      <w:r>
        <w:t xml:space="preserve">Dado que a sustentabilidade e o desenvolvimento sustentável </w:t>
      </w:r>
      <w:r>
        <w:t>também dizem respeito às empresas, esses termos consequentemente tangenciam a contabilidade. Ela pode ser compreendida como a ciência que se concentra nas movimentações do patrimônio, por meio de registro, classificação e demonstração, a fim de oferecer in</w:t>
      </w:r>
      <w:r>
        <w:t>formações necessárias para seus usuários na tomada de decisão (Quintana, 2014).</w:t>
      </w:r>
    </w:p>
    <w:p w14:paraId="5AF5B9A7" w14:textId="77777777" w:rsidR="00643609" w:rsidRDefault="000651AA">
      <w:pPr>
        <w:spacing w:after="0" w:line="360" w:lineRule="auto"/>
        <w:ind w:firstLine="709"/>
        <w:jc w:val="both"/>
      </w:pPr>
      <w:r>
        <w:lastRenderedPageBreak/>
        <w:t>Dentro da contabilidade, surge a Contabilidade Ambiental como um meio de auxiliar os gestores na direção das políticas ambientais, por meio da contabilização de eventos de natu</w:t>
      </w:r>
      <w:r>
        <w:t>reza ambiental e sua respectiva evidenciação, fornecendo informações para diminuir os impactos causados pelas corporações (Santos Júnior et al., 2022).</w:t>
      </w:r>
    </w:p>
    <w:p w14:paraId="1FE01DAD" w14:textId="77777777" w:rsidR="00643609" w:rsidRDefault="000651AA">
      <w:pPr>
        <w:spacing w:after="0" w:line="360" w:lineRule="auto"/>
        <w:ind w:firstLine="709"/>
        <w:jc w:val="both"/>
      </w:pPr>
      <w:r>
        <w:t xml:space="preserve">A preocupação da contabilidade ambiental é com o meio ambiente e sua conservação, com o reconhecimento, </w:t>
      </w:r>
      <w:r>
        <w:t>mensuração e evidenciação de informações sociais, econômicas e ambientais, além do estudo do patrimônio ambiental (Zaro, Sousa, Silva, 2022).</w:t>
      </w:r>
    </w:p>
    <w:p w14:paraId="73DF3FCD" w14:textId="77777777" w:rsidR="00643609" w:rsidRDefault="000651AA">
      <w:pPr>
        <w:spacing w:after="0" w:line="360" w:lineRule="auto"/>
        <w:ind w:firstLine="709"/>
        <w:jc w:val="both"/>
      </w:pPr>
      <w:r>
        <w:t>Em 2010, foi criado o Relato Integrado, com o objetivo de incentivar as empresas a adotarem um processo de divulga</w:t>
      </w:r>
      <w:r>
        <w:t>ção que considere a conectividade e interdependência de fatores financeiros e não financeiros, demonstrando como a empresa gera valor (IIRC, 2013).</w:t>
      </w:r>
    </w:p>
    <w:p w14:paraId="569F8006" w14:textId="77777777" w:rsidR="00643609" w:rsidRDefault="000651AA">
      <w:pPr>
        <w:spacing w:after="0" w:line="360" w:lineRule="auto"/>
        <w:ind w:firstLine="709"/>
        <w:jc w:val="both"/>
      </w:pPr>
      <w:r>
        <w:t>Já no ano de 2022, o IFRS publicou a norma IFRS S1, estabelecendo os requisitos gerais necessários para a di</w:t>
      </w:r>
      <w:r>
        <w:t>vulgação dos relatórios de sustentabilidade, além de apresentar boas práticas para a elaboração dos relatórios de Governança Corporativa (Santos, 2023). O propósito da divulgação da IFRS S1 é recomendar as normas que devem ser seguidas pelas empresas, desd</w:t>
      </w:r>
      <w:r>
        <w:t>e que possuam fins lucrativos (Santos, 2023).</w:t>
      </w:r>
    </w:p>
    <w:p w14:paraId="3FFF5D64" w14:textId="77777777" w:rsidR="00643609" w:rsidRDefault="000651AA">
      <w:pPr>
        <w:spacing w:after="0" w:line="360" w:lineRule="auto"/>
        <w:ind w:firstLine="709"/>
        <w:jc w:val="both"/>
      </w:pPr>
      <w:r>
        <w:t>Levando em conta a sustentabilidade, a contabilidade ambiental e os relatórios ligados à sustentabilidade, foram apresentados neste trabalho os seguintes estudos anteriores: Silva (2019), Pereira e Capellini (2</w:t>
      </w:r>
      <w:r>
        <w:t>021), Santos Júnior et al. (2022), Beneduzi (2023) e Padilha et al. (2024).</w:t>
      </w:r>
    </w:p>
    <w:p w14:paraId="42AE9ECB" w14:textId="77777777" w:rsidR="00643609" w:rsidRDefault="000651AA">
      <w:pPr>
        <w:spacing w:after="0" w:line="360" w:lineRule="auto"/>
        <w:ind w:firstLine="709"/>
        <w:jc w:val="both"/>
      </w:pPr>
      <w:r>
        <w:t>Este estudo refere-se Companhia Energética de Minas Gerais (CEMIG), pois a CEMIG tem a missão de fornecer soluções integradas de energia limpa e acessível à sociedade, de maneira i</w:t>
      </w:r>
      <w:r>
        <w:t>novadora, sustentável e competitiva. Seus valores estão ligados ao respeito à vida, agindo com cautela e prevenindo acidentes em qualquer situação; à integridade, agindo com ética, transparência e honestidade; à geração de valor, criando soluções para o be</w:t>
      </w:r>
      <w:r>
        <w:t xml:space="preserve">m-estar e o sucesso de clientes, acionistas, colaboradores, fornecedores e sociedade; e à busca pela Sustentabilidade e Responsabilidade Social, suprindo energia segura, limpa e confiável, contribuindo de forma sustentável para o desenvolvimento econômico </w:t>
      </w:r>
      <w:r>
        <w:t>e social (Relatório Anual de Responsabilidade Socioambiental CEMIG D, 2020).</w:t>
      </w:r>
    </w:p>
    <w:p w14:paraId="400EA6F1" w14:textId="77777777" w:rsidR="00643609" w:rsidRDefault="000651AA">
      <w:pPr>
        <w:spacing w:after="0" w:line="360" w:lineRule="auto"/>
        <w:ind w:firstLine="709"/>
        <w:jc w:val="both"/>
      </w:pPr>
      <w:r>
        <w:lastRenderedPageBreak/>
        <w:t>Neste contexto, a questão que norteou este estudo é: Como são apresentados os indicadores ambientais da CEMIG?</w:t>
      </w:r>
    </w:p>
    <w:p w14:paraId="0D273330" w14:textId="77777777" w:rsidR="00643609" w:rsidRDefault="000651AA">
      <w:pPr>
        <w:spacing w:after="0" w:line="360" w:lineRule="auto"/>
        <w:ind w:firstLine="709"/>
        <w:jc w:val="both"/>
      </w:pPr>
      <w:r>
        <w:t>O objetivo geral é analisar os indicadores de desenvolvimento susten</w:t>
      </w:r>
      <w:r>
        <w:t>tável e de impactos ambientais da CEMIG no período de 2020 a 2023, buscando uma comparação evolutiva de investimentos proporcionados pela empresa para o desenvolvimento sustentável e reduções nos impactos ambientais. Os objetivos específicos são: buscar os</w:t>
      </w:r>
      <w:r>
        <w:t xml:space="preserve"> Relatórios Anuais de Responsabilidade Socioambiental da CEMIG, especificar quais são os indicadores de desenvolvimento sustentável e de impactos ambientais presentes nesses relatórios e comparar a evolução desses indicadores no período de 2020 a 2023.</w:t>
      </w:r>
    </w:p>
    <w:p w14:paraId="33E35E6D" w14:textId="77777777" w:rsidR="00643609" w:rsidRDefault="000651AA">
      <w:pPr>
        <w:spacing w:after="0" w:line="360" w:lineRule="auto"/>
        <w:ind w:firstLine="709"/>
        <w:jc w:val="both"/>
      </w:pPr>
      <w:r>
        <w:t>A r</w:t>
      </w:r>
      <w:r>
        <w:t>ealização deste estudo se justifica com o intuito de demonstrar o desempenho da CEMIG em sustentabilidade, apresentando o Relatório Anual de Responsabilidade Socioambiental para seus usuários. O propósito deste trabalho é identificar os indicadores ambient</w:t>
      </w:r>
      <w:r>
        <w:t>ais, mostrar sua evolução e compará-los entre os anos de 2020 e 2023.</w:t>
      </w:r>
    </w:p>
    <w:p w14:paraId="34AA58F6" w14:textId="77777777" w:rsidR="00643609" w:rsidRDefault="000651AA">
      <w:pPr>
        <w:spacing w:after="0" w:line="360" w:lineRule="auto"/>
        <w:ind w:firstLine="709"/>
        <w:jc w:val="both"/>
      </w:pPr>
      <w:r>
        <w:t xml:space="preserve">Sendo assim, contribui para os acadêmicos e profissionais da área contábil e para a sociedade em geral, mostrando a importância do Relatório Anual de Responsabilidade </w:t>
      </w:r>
      <w:r>
        <w:t>Socioambiental e promovendo a compreensão sobre os conceitos de Contabilidade Ambiental, Sustentabilidade e Desenvolvimento Sustentável.</w:t>
      </w:r>
    </w:p>
    <w:p w14:paraId="06239549" w14:textId="77777777" w:rsidR="00643609" w:rsidRDefault="000651AA">
      <w:pPr>
        <w:keepNext/>
        <w:spacing w:before="360" w:after="240" w:line="240" w:lineRule="auto"/>
      </w:pPr>
      <w:r>
        <w:rPr>
          <w:b/>
        </w:rPr>
        <w:t>2. REFERENCIAL TEÓRICO</w:t>
      </w:r>
    </w:p>
    <w:p w14:paraId="36932052" w14:textId="7D4B52B9" w:rsidR="00643609" w:rsidRDefault="000651AA" w:rsidP="00AB5F50">
      <w:pPr>
        <w:spacing w:after="0" w:line="360" w:lineRule="auto"/>
        <w:ind w:firstLine="720"/>
        <w:jc w:val="both"/>
      </w:pPr>
      <w:r>
        <w:t>As terminologias relacionadas à sustentabilidade vêm ganhando destaque nas</w:t>
      </w:r>
      <w:r w:rsidR="00AB5F50">
        <w:t xml:space="preserve"> </w:t>
      </w:r>
      <w:r>
        <w:t xml:space="preserve">últimas décadas. Por </w:t>
      </w:r>
      <w:r>
        <w:t xml:space="preserve">volta de 1960, o mundo já se atentava para o meio ambiente, principalmente às questões vinculadas à sustentabilidade (Souza, 2014). O conceito de Desenvolvimento Sustentável originou-se do termo eco desenvolvimento por volta de 1970 (Romeiro, 2012). O eco </w:t>
      </w:r>
      <w:r>
        <w:t>desenvolvimento caminha em direção a um crescimento econômico eficaz no longo prazo e, ao mesmo tempo, para o aperfeiçoamento das condições socioeconômicas da sociedade, no que se refere ao meio ambiente (Romeiro, 2012).</w:t>
      </w:r>
    </w:p>
    <w:p w14:paraId="587883D0" w14:textId="77777777" w:rsidR="00AB5F50" w:rsidRDefault="000651AA" w:rsidP="00AB5F50">
      <w:pPr>
        <w:spacing w:after="0" w:line="360" w:lineRule="auto"/>
        <w:ind w:firstLine="720"/>
        <w:jc w:val="both"/>
      </w:pPr>
      <w:r>
        <w:t>O termo Sustentabilidade está ligad</w:t>
      </w:r>
      <w:r>
        <w:t>o ao local onde se planeja chegar; contudo, o Desenvolvimento Sustentável evidencia como se planeja alcançar. A Sustentabilidade e o Desenvolvimento Sustentável têm objetivos diferentes, porém possuem interesses semelhantes (Silva; Mendes, 2005).</w:t>
      </w:r>
    </w:p>
    <w:p w14:paraId="02B1964D" w14:textId="27147FD3" w:rsidR="00643609" w:rsidRDefault="000651AA" w:rsidP="00AB5F50">
      <w:pPr>
        <w:spacing w:after="0" w:line="360" w:lineRule="auto"/>
        <w:ind w:firstLine="720"/>
        <w:jc w:val="both"/>
      </w:pPr>
      <w:r>
        <w:lastRenderedPageBreak/>
        <w:t>O Desenvo</w:t>
      </w:r>
      <w:r>
        <w:t>lvimento Sustentável é um processo contínuo, e a Sustentabilidade é o encerramento dele (Sousa; Abdala, 2020). O Desenvolvimento Sustentável é um conceito que envolve objetivos sociais, ecológicos e econômicos, trazendo consigo a ideia de que a mudança é n</w:t>
      </w:r>
      <w:r>
        <w:t>ecessária, a fim de assegurar às novas gerações um futuro melhor (Sousa; Abdala, 2020).</w:t>
      </w:r>
    </w:p>
    <w:p w14:paraId="71DFA771" w14:textId="77777777" w:rsidR="00643609" w:rsidRDefault="000651AA" w:rsidP="00AB5F50">
      <w:pPr>
        <w:spacing w:after="0" w:line="360" w:lineRule="auto"/>
        <w:ind w:firstLine="720"/>
        <w:jc w:val="both"/>
      </w:pPr>
      <w:r>
        <w:t xml:space="preserve">Sendo assim, a concepção de Sustentabilidade está ligada à qualidade do que é sustentável, além da possibilidade da associação de atividades se espalharem na sociedade </w:t>
      </w:r>
      <w:r>
        <w:t>por tempo indeterminado, ou seja, a continuação de atividades humanas passadas de geração a geração (Silveira, 2017). Porém, não há garantias de que a sustentabilidade ocorrerá na prática, devido ao longo prazo e aos fatores imprevisíveis e desconhecidos q</w:t>
      </w:r>
      <w:r>
        <w:t>ue podem surgir. Sobretudo, é considerado um modelo econômico persistente focado na produção e no consumo sem considerar limites (Silveira, 2017).</w:t>
      </w:r>
    </w:p>
    <w:p w14:paraId="2C277EFC" w14:textId="77777777" w:rsidR="00643609" w:rsidRDefault="000651AA" w:rsidP="00AB5F50">
      <w:pPr>
        <w:spacing w:after="0" w:line="360" w:lineRule="auto"/>
        <w:ind w:firstLine="720"/>
        <w:jc w:val="both"/>
      </w:pPr>
      <w:r>
        <w:t>Em 1972, a ONU convocou a Conferência das Nações Unidas, ocorrida em Estocolmo, Suécia, mais conhecida como C</w:t>
      </w:r>
      <w:r>
        <w:t>onferência de Estocolmo, na qual os países de primeiro mundo argumentavam sobre os problemas e as questões ambientais (Souza, 2014). A Conferência de Estocolmo foi um marco importante na história da sustentabilidade e trouxe como resultado o Manifesto Ambi</w:t>
      </w:r>
      <w:r>
        <w:t>ental, composto por princípios que começaram a formar as bases para a nova agenda ambiental do Sistema das Nações Unidas (Souza, 2014).</w:t>
      </w:r>
    </w:p>
    <w:p w14:paraId="023F475E" w14:textId="77777777" w:rsidR="00643609" w:rsidRDefault="000651AA" w:rsidP="00AB5F50">
      <w:pPr>
        <w:spacing w:after="0" w:line="360" w:lineRule="auto"/>
        <w:ind w:firstLine="720"/>
        <w:jc w:val="both"/>
      </w:pPr>
      <w:r>
        <w:t>Então, em 1983, a comissão especial recebeu o nome de Comissão Mundial sobre Meio Ambiente e Desenvolvimento (CMMAD) e f</w:t>
      </w:r>
      <w:r>
        <w:t>oi presidida pela primeira-ministra da Noruega, Gro Harlem Brundtland (CMMAD, 1998). A pretensão da comissão era realizar a agenda global para a mudança ambiental. Em 1987, essa Comissão apresentou à ONU o relatório</w:t>
      </w:r>
      <w:r>
        <w:rPr>
          <w:i/>
        </w:rPr>
        <w:t xml:space="preserve"> Nosso Futuro Comum</w:t>
      </w:r>
      <w:r>
        <w:t>, também chamado de re</w:t>
      </w:r>
      <w:r>
        <w:t>latório de Brundtland (CMMAD, 1998).</w:t>
      </w:r>
    </w:p>
    <w:p w14:paraId="50A18F01" w14:textId="77777777" w:rsidR="00643609" w:rsidRDefault="000651AA" w:rsidP="00AB5F50">
      <w:pPr>
        <w:spacing w:after="0" w:line="360" w:lineRule="auto"/>
        <w:ind w:firstLine="720"/>
        <w:jc w:val="both"/>
      </w:pPr>
      <w:r>
        <w:t>De acordo com o Relatório de Brundtland, o Desenvolvimento Sustentável é aquele que “atende às necessidades do presente sem comprometer a possibilidade de as gerações futuras atenderem às suas próprias necessidades” (CM</w:t>
      </w:r>
      <w:r>
        <w:t>MAD, 1988, p. 46). Nota-se que, sendo expressões diferentes, tanto o termo eco desenvolvimento como o Desenvolvimento Sustentável demonstram o mesmo sentido normativo (Romeiro, 2012).</w:t>
      </w:r>
    </w:p>
    <w:p w14:paraId="60F7F97F" w14:textId="77777777" w:rsidR="00643609" w:rsidRDefault="000651AA" w:rsidP="00AB5F50">
      <w:pPr>
        <w:spacing w:after="0" w:line="360" w:lineRule="auto"/>
        <w:ind w:firstLine="720"/>
        <w:jc w:val="both"/>
      </w:pPr>
      <w:r>
        <w:t>Antecedendo o marco histórico, o termo Sustentabilidade foi especialment</w:t>
      </w:r>
      <w:r>
        <w:t xml:space="preserve">e relacionado ao aspecto financeiro dos empreendimentos. As entidades sustentáveis </w:t>
      </w:r>
      <w:r>
        <w:lastRenderedPageBreak/>
        <w:t>seriam aquelas que demonstrassem aumento nos resultados financeiros levando em conta o meio ambiente (Silveira, 2017). A partir disso, com a expansão desse conhecimento, sur</w:t>
      </w:r>
      <w:r>
        <w:t>giram outros aspectos que sentiram a necessidade de associar a Sustentabilidade a um olhar metódico envolvendo os aspectos social, financeiro e ambiental (Silveira, 2017).</w:t>
      </w:r>
    </w:p>
    <w:p w14:paraId="242B6FB4" w14:textId="77777777" w:rsidR="00643609" w:rsidRDefault="000651AA" w:rsidP="00AB5F50">
      <w:pPr>
        <w:spacing w:after="0" w:line="360" w:lineRule="auto"/>
        <w:ind w:firstLine="720"/>
        <w:jc w:val="both"/>
      </w:pPr>
      <w:r>
        <w:t>No que se refere ao termo Desenvolvimento Sustentável, a Conferência das Nações Unid</w:t>
      </w:r>
      <w:r>
        <w:t>as sobre Meio Ambiente e Desenvolvimento (CNUMAD), realizada no Rio de Janeiro em 1992, foi o evento da ONU responsável pela celebração da concepção deste termo em escala global (Oliveira, 2011).</w:t>
      </w:r>
    </w:p>
    <w:p w14:paraId="31691BD1" w14:textId="77777777" w:rsidR="00643609" w:rsidRDefault="000651AA" w:rsidP="00AB5F50">
      <w:pPr>
        <w:spacing w:after="0" w:line="360" w:lineRule="auto"/>
        <w:ind w:firstLine="720"/>
        <w:jc w:val="both"/>
      </w:pPr>
      <w:r>
        <w:t>Essa conferência, também chamada de Rio 92, foi dividida ent</w:t>
      </w:r>
      <w:r>
        <w:t>re o Riocentro, no qual estiveram reunidas as delegações diplomáticas e chefes de governo, e o Aterro do Flamengo, onde ocorreu o Fórum Global, com a participação de ONGs e Movimentos Sociais, que significou a construção de um simulacro espacial (Oliveira,</w:t>
      </w:r>
      <w:r>
        <w:t xml:space="preserve"> 2011). Tais conferências envolveram procedimentos geográficos que vão desde a escolha do local, quanto aos objetos e ações criadas nele e até mesmo ao próprio patrimônio (Oliveira, 2011).</w:t>
      </w:r>
    </w:p>
    <w:p w14:paraId="285CE915" w14:textId="77777777" w:rsidR="00643609" w:rsidRDefault="000651AA" w:rsidP="00AB5F50">
      <w:pPr>
        <w:spacing w:after="0" w:line="360" w:lineRule="auto"/>
        <w:ind w:firstLine="720"/>
        <w:jc w:val="both"/>
      </w:pPr>
      <w:r>
        <w:t xml:space="preserve">A Rio 92 teve como objetivo estabelecer as intervenções </w:t>
      </w:r>
      <w:r>
        <w:t>necessárias entre as esferas econômica, social e ambiental, ficando claro que um modelo sustentável de desenvolvimento não poderia prescindir da articulação entre essas três esferas (Beskow; Mattei, 2012). Após dez anos, em 2002, a ONU solicitou a presença</w:t>
      </w:r>
      <w:r>
        <w:t xml:space="preserve"> dos países membros na Convenção Mundial sobre o Desenvolvimento Sustentável, em Joanesburgo, África do Sul. Este encontro, também chamado de Rio +10, teve como objetivo central analisar e avaliar os prováveis avanços ocorridos na Rio 92, que tinha como fi</w:t>
      </w:r>
      <w:r>
        <w:t>nalidade resolver os problemas referentes à proteção ambiental e ao desenvolvimento socioeconômico, com base nas premissas estabelecidas em Estocolmo e nos acordos firmados no Rio de Janeiro (Beskow; Mattei, 2012).</w:t>
      </w:r>
    </w:p>
    <w:p w14:paraId="0F66A166" w14:textId="77777777" w:rsidR="00643609" w:rsidRDefault="000651AA" w:rsidP="00AB5F50">
      <w:pPr>
        <w:spacing w:after="0" w:line="360" w:lineRule="auto"/>
        <w:ind w:firstLine="720"/>
        <w:jc w:val="both"/>
      </w:pPr>
      <w:r>
        <w:t>Em 2012, foi realizada na cidade do Rio d</w:t>
      </w:r>
      <w:r>
        <w:t>e Janeiro uma nova conferência intitulada Rio + 20. Esse evento tinha como objetivo a elaboração final de um documento conhecido como “O Futuro que Queremos” (Beskow; Mattei, 2012).</w:t>
      </w:r>
    </w:p>
    <w:p w14:paraId="6F4A8691" w14:textId="77777777" w:rsidR="00643609" w:rsidRPr="00AB5F50" w:rsidRDefault="000651AA" w:rsidP="00AB5F50">
      <w:pPr>
        <w:spacing w:after="0" w:line="360" w:lineRule="auto"/>
        <w:ind w:firstLine="720"/>
        <w:jc w:val="both"/>
        <w:rPr>
          <w:szCs w:val="24"/>
        </w:rPr>
      </w:pPr>
      <w:r>
        <w:t xml:space="preserve">A ONU definiu os objetivos da Conferência Rio+20, sendo eles: garantir um </w:t>
      </w:r>
      <w:r>
        <w:t>comprometimento político desenvolvido para o Desenvolvimento Sustentável; medir o progresso obtido até o momento, analisando as lacunas existentes na realização das metas e objetivos, definidos nos mais variados encontros mundiais sobre desenvolvimento sus</w:t>
      </w:r>
      <w:r>
        <w:t xml:space="preserve">tentável; discutir os novos desafios e temas urgentes, </w:t>
      </w:r>
      <w:r w:rsidRPr="00AB5F50">
        <w:rPr>
          <w:szCs w:val="24"/>
        </w:rPr>
        <w:lastRenderedPageBreak/>
        <w:t xml:space="preserve">atentando-se às questões referentes à economia e à governança internacional (Beskow; Mattei, 2012). Em 2015, a ONU criou a Agenda 2030, composta por metas, objetivos e iniciativas para unir o mundo na </w:t>
      </w:r>
      <w:r w:rsidRPr="00AB5F50">
        <w:rPr>
          <w:szCs w:val="24"/>
        </w:rPr>
        <w:t>expectativa de atingir a plenitude sustentável (Silva; Conde; Viseu, 2022). Mediante isso, a Agenda 2030 propôs 17 Objetivos de Desenvolvimento Sustentável (ODS), sendo eles:</w:t>
      </w:r>
    </w:p>
    <w:p w14:paraId="19195194" w14:textId="77777777" w:rsidR="00643609" w:rsidRPr="00AB5F50" w:rsidRDefault="000651AA">
      <w:pPr>
        <w:spacing w:after="240" w:line="240" w:lineRule="auto"/>
        <w:rPr>
          <w:szCs w:val="24"/>
        </w:rPr>
      </w:pPr>
      <w:r w:rsidRPr="00AB5F50">
        <w:rPr>
          <w:szCs w:val="24"/>
        </w:rPr>
        <w:t> ODS 1 - Acabar com a pobreza em todas as suas formas, em todos os lugares;</w:t>
      </w:r>
    </w:p>
    <w:p w14:paraId="7B5B59A1" w14:textId="77777777" w:rsidR="00643609" w:rsidRPr="00AB5F50" w:rsidRDefault="000651AA">
      <w:pPr>
        <w:spacing w:after="240" w:line="240" w:lineRule="auto"/>
        <w:rPr>
          <w:szCs w:val="24"/>
        </w:rPr>
      </w:pPr>
      <w:r w:rsidRPr="00AB5F50">
        <w:rPr>
          <w:szCs w:val="24"/>
        </w:rPr>
        <w:t> OD</w:t>
      </w:r>
      <w:r w:rsidRPr="00AB5F50">
        <w:rPr>
          <w:szCs w:val="24"/>
        </w:rPr>
        <w:t>S 2 - Acabar com a fome, alcançar a segurança alimentar e melhoria da nutrição e promover a agricultura sustentável;</w:t>
      </w:r>
    </w:p>
    <w:p w14:paraId="7A8A5E89" w14:textId="77777777" w:rsidR="00643609" w:rsidRPr="00AB5F50" w:rsidRDefault="000651AA">
      <w:pPr>
        <w:spacing w:after="240" w:line="240" w:lineRule="auto"/>
        <w:rPr>
          <w:szCs w:val="24"/>
        </w:rPr>
      </w:pPr>
      <w:r w:rsidRPr="00AB5F50">
        <w:rPr>
          <w:szCs w:val="24"/>
        </w:rPr>
        <w:t> ODS 3 - Assegurar uma vida saudável e promover o bem-estar para todos, em todas as idades;</w:t>
      </w:r>
    </w:p>
    <w:p w14:paraId="2959A116" w14:textId="77777777" w:rsidR="00643609" w:rsidRPr="00AB5F50" w:rsidRDefault="000651AA">
      <w:pPr>
        <w:spacing w:after="240" w:line="240" w:lineRule="auto"/>
        <w:rPr>
          <w:szCs w:val="24"/>
        </w:rPr>
      </w:pPr>
      <w:r w:rsidRPr="00AB5F50">
        <w:rPr>
          <w:szCs w:val="24"/>
        </w:rPr>
        <w:t> ODS 4 - Assegurar a educação inclusiva e equ</w:t>
      </w:r>
      <w:r w:rsidRPr="00AB5F50">
        <w:rPr>
          <w:szCs w:val="24"/>
        </w:rPr>
        <w:t>itativa de qualidade;</w:t>
      </w:r>
    </w:p>
    <w:p w14:paraId="6E859172" w14:textId="77777777" w:rsidR="00643609" w:rsidRPr="00AB5F50" w:rsidRDefault="000651AA">
      <w:pPr>
        <w:spacing w:after="240" w:line="240" w:lineRule="auto"/>
        <w:rPr>
          <w:szCs w:val="24"/>
        </w:rPr>
      </w:pPr>
      <w:r w:rsidRPr="00AB5F50">
        <w:rPr>
          <w:szCs w:val="24"/>
        </w:rPr>
        <w:t> ODS 5 - Alcançar à igualdade de gênero e empoderar todas as mulheres e meninas;</w:t>
      </w:r>
    </w:p>
    <w:p w14:paraId="1529B50F" w14:textId="77777777" w:rsidR="00643609" w:rsidRPr="00AB5F50" w:rsidRDefault="000651AA">
      <w:pPr>
        <w:spacing w:after="240" w:line="240" w:lineRule="auto"/>
        <w:rPr>
          <w:szCs w:val="24"/>
        </w:rPr>
      </w:pPr>
      <w:r w:rsidRPr="00AB5F50">
        <w:rPr>
          <w:szCs w:val="24"/>
        </w:rPr>
        <w:t> ODS 6 - Assegurar a disponibilidade e gestão sustentável da água e o saneamento para todos;</w:t>
      </w:r>
    </w:p>
    <w:p w14:paraId="7C13B0A0" w14:textId="77777777" w:rsidR="00643609" w:rsidRPr="00AB5F50" w:rsidRDefault="000651AA">
      <w:pPr>
        <w:spacing w:after="240" w:line="240" w:lineRule="auto"/>
        <w:rPr>
          <w:szCs w:val="24"/>
        </w:rPr>
      </w:pPr>
      <w:r w:rsidRPr="00AB5F50">
        <w:rPr>
          <w:szCs w:val="24"/>
        </w:rPr>
        <w:t> ODS 7 - Assegurar a todos o acesso confiável, sustentáve</w:t>
      </w:r>
      <w:r w:rsidRPr="00AB5F50">
        <w:rPr>
          <w:szCs w:val="24"/>
        </w:rPr>
        <w:t>l, moderno e a preço acessível à energia;</w:t>
      </w:r>
    </w:p>
    <w:p w14:paraId="1A6BE276" w14:textId="77777777" w:rsidR="00643609" w:rsidRPr="00AB5F50" w:rsidRDefault="000651AA" w:rsidP="00AB5F50">
      <w:pPr>
        <w:spacing w:after="0" w:line="360" w:lineRule="auto"/>
        <w:ind w:firstLine="720"/>
        <w:jc w:val="both"/>
        <w:rPr>
          <w:szCs w:val="24"/>
        </w:rPr>
      </w:pPr>
      <w:r w:rsidRPr="00AB5F50">
        <w:rPr>
          <w:szCs w:val="24"/>
        </w:rPr>
        <w:t> ODS 8 - Promover o crescimento econômico sustentado, inclusivo e sustentável, emprego pleno e produtivo e trabalho decente para todos;</w:t>
      </w:r>
    </w:p>
    <w:p w14:paraId="37DB97EB" w14:textId="77777777" w:rsidR="00643609" w:rsidRPr="00AB5F50" w:rsidRDefault="000651AA" w:rsidP="00AB5F50">
      <w:pPr>
        <w:spacing w:after="0" w:line="360" w:lineRule="auto"/>
        <w:ind w:firstLine="720"/>
        <w:jc w:val="both"/>
        <w:rPr>
          <w:szCs w:val="24"/>
        </w:rPr>
      </w:pPr>
      <w:r w:rsidRPr="00AB5F50">
        <w:rPr>
          <w:szCs w:val="24"/>
        </w:rPr>
        <w:t xml:space="preserve"> ODS 9 - Construir infraestruturas resilientes, promover a </w:t>
      </w:r>
      <w:r w:rsidRPr="00AB5F50">
        <w:rPr>
          <w:szCs w:val="24"/>
        </w:rPr>
        <w:t>industrialização inclusiva e sustentável e fomentar a inovação;</w:t>
      </w:r>
    </w:p>
    <w:p w14:paraId="7E5FDE0C" w14:textId="77777777" w:rsidR="00643609" w:rsidRPr="00AB5F50" w:rsidRDefault="000651AA" w:rsidP="00AB5F50">
      <w:pPr>
        <w:spacing w:after="0" w:line="360" w:lineRule="auto"/>
        <w:ind w:firstLine="720"/>
        <w:jc w:val="both"/>
        <w:rPr>
          <w:szCs w:val="24"/>
        </w:rPr>
      </w:pPr>
      <w:r w:rsidRPr="00AB5F50">
        <w:rPr>
          <w:szCs w:val="24"/>
        </w:rPr>
        <w:t> ODS 10 - Reduzir a desigualdade dentro dos países e entre eles;</w:t>
      </w:r>
    </w:p>
    <w:p w14:paraId="3ED65DBB" w14:textId="77777777" w:rsidR="00643609" w:rsidRPr="00AB5F50" w:rsidRDefault="000651AA" w:rsidP="00AB5F50">
      <w:pPr>
        <w:spacing w:after="0" w:line="360" w:lineRule="auto"/>
        <w:ind w:firstLine="720"/>
        <w:jc w:val="both"/>
        <w:rPr>
          <w:szCs w:val="24"/>
        </w:rPr>
      </w:pPr>
      <w:r w:rsidRPr="00AB5F50">
        <w:rPr>
          <w:szCs w:val="24"/>
        </w:rPr>
        <w:t> ODS 11 - Tornar as cidades e os assentamentos humanos inclusivos, seguros, resilientes e sustentáveis;</w:t>
      </w:r>
    </w:p>
    <w:p w14:paraId="40D6B403" w14:textId="77777777" w:rsidR="00643609" w:rsidRPr="00AB5F50" w:rsidRDefault="000651AA" w:rsidP="00AB5F50">
      <w:pPr>
        <w:spacing w:after="0" w:line="360" w:lineRule="auto"/>
        <w:ind w:firstLine="720"/>
        <w:jc w:val="both"/>
        <w:rPr>
          <w:szCs w:val="24"/>
        </w:rPr>
      </w:pPr>
      <w:r w:rsidRPr="00AB5F50">
        <w:rPr>
          <w:szCs w:val="24"/>
        </w:rPr>
        <w:t xml:space="preserve"> ODS 12 - Assegurar </w:t>
      </w:r>
      <w:r w:rsidRPr="00AB5F50">
        <w:rPr>
          <w:szCs w:val="24"/>
        </w:rPr>
        <w:t>padrões de produção e de consumo sustentável;</w:t>
      </w:r>
    </w:p>
    <w:p w14:paraId="1FF549F0" w14:textId="55D9AE6E" w:rsidR="00643609" w:rsidRPr="00AB5F50" w:rsidRDefault="000651AA" w:rsidP="00AB5F50">
      <w:pPr>
        <w:spacing w:after="0" w:line="360" w:lineRule="auto"/>
        <w:ind w:firstLine="720"/>
        <w:jc w:val="both"/>
        <w:rPr>
          <w:szCs w:val="24"/>
        </w:rPr>
      </w:pPr>
      <w:r w:rsidRPr="00AB5F50">
        <w:rPr>
          <w:szCs w:val="24"/>
        </w:rPr>
        <w:t> ODS 13 - Tomar medidas urgentes para combater a mudança do clima e seus impactos;</w:t>
      </w:r>
    </w:p>
    <w:p w14:paraId="202235E2" w14:textId="77777777" w:rsidR="00643609" w:rsidRPr="00AB5F50" w:rsidRDefault="000651AA" w:rsidP="00AB5F50">
      <w:pPr>
        <w:spacing w:after="0" w:line="360" w:lineRule="auto"/>
        <w:ind w:firstLine="720"/>
        <w:jc w:val="both"/>
        <w:rPr>
          <w:szCs w:val="24"/>
        </w:rPr>
      </w:pPr>
      <w:r w:rsidRPr="00AB5F50">
        <w:rPr>
          <w:szCs w:val="24"/>
        </w:rPr>
        <w:t> ODS 14 - Conservar e promover o uso sustentável dos oceanos, dos mares e dos recursos marinhos para o desenvolvimento sust</w:t>
      </w:r>
      <w:r w:rsidRPr="00AB5F50">
        <w:rPr>
          <w:szCs w:val="24"/>
        </w:rPr>
        <w:t>entável;</w:t>
      </w:r>
    </w:p>
    <w:p w14:paraId="7086D046" w14:textId="7C0A4E8A" w:rsidR="00643609" w:rsidRPr="00AB5F50" w:rsidRDefault="00AB5F50" w:rsidP="00AB5F50">
      <w:pPr>
        <w:spacing w:after="0" w:line="360" w:lineRule="auto"/>
        <w:ind w:firstLine="720"/>
        <w:jc w:val="both"/>
        <w:rPr>
          <w:szCs w:val="24"/>
        </w:rPr>
      </w:pPr>
      <w:r w:rsidRPr="00AB5F50">
        <w:rPr>
          <w:szCs w:val="24"/>
        </w:rPr>
        <w:t xml:space="preserve"> </w:t>
      </w:r>
      <w:r w:rsidR="000651AA" w:rsidRPr="00AB5F50">
        <w:rPr>
          <w:szCs w:val="24"/>
        </w:rPr>
        <w:t>ODS 15 - Proteger, recuperar e promover o uso sustentável dos</w:t>
      </w:r>
      <w:r>
        <w:rPr>
          <w:szCs w:val="24"/>
        </w:rPr>
        <w:t xml:space="preserve"> </w:t>
      </w:r>
      <w:r w:rsidR="000651AA" w:rsidRPr="00AB5F50">
        <w:rPr>
          <w:szCs w:val="24"/>
        </w:rPr>
        <w:t>ecossistemas terrestres, gerir de forma sustentável as florestas, combater a desertificação, deter e reverter a degradação da terra e deter a perda;</w:t>
      </w:r>
    </w:p>
    <w:p w14:paraId="7DD0722F" w14:textId="00890F18" w:rsidR="00643609" w:rsidRPr="00AB5F50" w:rsidRDefault="00AB5F50" w:rsidP="00AB5F50">
      <w:pPr>
        <w:spacing w:after="0" w:line="360" w:lineRule="auto"/>
        <w:ind w:firstLine="720"/>
        <w:jc w:val="both"/>
        <w:rPr>
          <w:szCs w:val="24"/>
        </w:rPr>
      </w:pPr>
      <w:r w:rsidRPr="00AB5F50">
        <w:rPr>
          <w:szCs w:val="24"/>
        </w:rPr>
        <w:lastRenderedPageBreak/>
        <w:t xml:space="preserve"> </w:t>
      </w:r>
      <w:r w:rsidR="000651AA" w:rsidRPr="00AB5F50">
        <w:rPr>
          <w:szCs w:val="24"/>
        </w:rPr>
        <w:t>ODS 16 - Promover sociedades pacíf</w:t>
      </w:r>
      <w:r w:rsidR="000651AA" w:rsidRPr="00AB5F50">
        <w:rPr>
          <w:szCs w:val="24"/>
        </w:rPr>
        <w:t>icas e inclusivas para o</w:t>
      </w:r>
      <w:r w:rsidR="000651AA" w:rsidRPr="00AB5F50">
        <w:rPr>
          <w:szCs w:val="24"/>
        </w:rPr>
        <w:t> desenvolvimento sustentável, proporcionar o acesso à justiça para todos e construir instituições eficazes, responsáveis e inclusivas em todos os níveis;</w:t>
      </w:r>
    </w:p>
    <w:p w14:paraId="27396681" w14:textId="45883EEC" w:rsidR="00643609" w:rsidRPr="00AB5F50" w:rsidRDefault="00AB5F50" w:rsidP="00AB5F50">
      <w:pPr>
        <w:spacing w:after="0" w:line="360" w:lineRule="auto"/>
        <w:ind w:firstLine="720"/>
        <w:jc w:val="both"/>
        <w:rPr>
          <w:szCs w:val="24"/>
        </w:rPr>
      </w:pPr>
      <w:r w:rsidRPr="00AB5F50">
        <w:rPr>
          <w:szCs w:val="24"/>
        </w:rPr>
        <w:t xml:space="preserve"> </w:t>
      </w:r>
      <w:r w:rsidR="000651AA" w:rsidRPr="00AB5F50">
        <w:rPr>
          <w:szCs w:val="24"/>
        </w:rPr>
        <w:t>ODS 17 - Fortalecer os meios de implementação e revitalizar a parceria</w:t>
      </w:r>
      <w:r>
        <w:rPr>
          <w:szCs w:val="24"/>
        </w:rPr>
        <w:t xml:space="preserve"> </w:t>
      </w:r>
      <w:r w:rsidR="000651AA" w:rsidRPr="00AB5F50">
        <w:rPr>
          <w:szCs w:val="24"/>
        </w:rPr>
        <w:t>glo</w:t>
      </w:r>
      <w:r w:rsidR="000651AA" w:rsidRPr="00AB5F50">
        <w:rPr>
          <w:szCs w:val="24"/>
        </w:rPr>
        <w:t>bal para o desenvolvimento sustentável.</w:t>
      </w:r>
    </w:p>
    <w:p w14:paraId="601E36EE" w14:textId="77777777" w:rsidR="00643609" w:rsidRDefault="000651AA" w:rsidP="00AB5F50">
      <w:pPr>
        <w:spacing w:after="0" w:line="360" w:lineRule="auto"/>
        <w:ind w:firstLine="720"/>
        <w:jc w:val="both"/>
      </w:pPr>
      <w:r>
        <w:rPr>
          <w:b/>
        </w:rPr>
        <w:t>2.1. Contabilidade Ambiental e relatórios de sustentabilidade</w:t>
      </w:r>
    </w:p>
    <w:p w14:paraId="022E4106" w14:textId="77777777" w:rsidR="00643609" w:rsidRDefault="000651AA" w:rsidP="00AB5F50">
      <w:pPr>
        <w:spacing w:after="0" w:line="360" w:lineRule="auto"/>
        <w:ind w:firstLine="720"/>
        <w:jc w:val="both"/>
      </w:pPr>
      <w:r>
        <w:t>A Contabilidade é discutida como uma ciência ou técnica desde seu surgimento. Ela pode ser entendida como uma ciência que controla as mudanças ocorridas n</w:t>
      </w:r>
      <w:r>
        <w:t>o patrimônio das entidades, evidenciando suas variações através de demonstrativos contábeis, a fim de servir como ferramenta para a tomada de decisões dos vários tipos de usuários (Quintana, 2014).</w:t>
      </w:r>
    </w:p>
    <w:p w14:paraId="4381409F" w14:textId="77777777" w:rsidR="00643609" w:rsidRDefault="000651AA" w:rsidP="00AB5F50">
      <w:pPr>
        <w:spacing w:after="0" w:line="360" w:lineRule="auto"/>
        <w:ind w:firstLine="720"/>
        <w:jc w:val="both"/>
      </w:pPr>
      <w:r>
        <w:t>A Contabilidade Ambiental surgiu por volta de 1970, quando</w:t>
      </w:r>
      <w:r>
        <w:t xml:space="preserve"> as empresas passaram a se preocupar com os problemas do meio ambiente (Conceição; Finhani Junior; Alonso, 2014). Sendo compreendida pela atividade de reconhecimento do registro de dados e eventos ambientais, seguidos de uma sequência de informações que au</w:t>
      </w:r>
      <w:r>
        <w:t>xiliam o usuário nas tomadas de decisões (Paiva, 2003).</w:t>
      </w:r>
    </w:p>
    <w:p w14:paraId="5098EB81" w14:textId="77777777" w:rsidR="00643609" w:rsidRDefault="000651AA" w:rsidP="00AB5F50">
      <w:pPr>
        <w:spacing w:after="0" w:line="360" w:lineRule="auto"/>
        <w:ind w:firstLine="720"/>
        <w:jc w:val="both"/>
      </w:pPr>
      <w:r>
        <w:t>Com base na perspectiva da sociedade, a Contabilidade Ambiental está vinculada com a responsabilidade ambiental, tendo como objetivo o fornecimento de informações para permitir aos seus usuários uma a</w:t>
      </w:r>
      <w:r>
        <w:t>valiação dos efeitos das atividades da empresa sobre a sociedade (Carvalho, 2011).</w:t>
      </w:r>
    </w:p>
    <w:p w14:paraId="158F993F" w14:textId="77777777" w:rsidR="00643609" w:rsidRDefault="000651AA" w:rsidP="00AB5F50">
      <w:pPr>
        <w:spacing w:after="0" w:line="360" w:lineRule="auto"/>
        <w:ind w:firstLine="720"/>
        <w:jc w:val="both"/>
      </w:pPr>
      <w:r>
        <w:t>Sendo assim, também pode ser entendida como um conjunto de ações planejadas para desenvolver um projeto, levando em conta a preocupação com o meio ambiente (Carvalho, 2011).</w:t>
      </w:r>
      <w:r>
        <w:t xml:space="preserve"> Através dela podem ser definidos os impactos ocorridos no meio ambiente, fornecendo aos usuários conhecimento sobre os acontecimentos ambientais que venham causar mutações no patrimônio (Ferreira; Gonzales, 2018).</w:t>
      </w:r>
    </w:p>
    <w:p w14:paraId="40F6B026" w14:textId="77777777" w:rsidR="00643609" w:rsidRDefault="000651AA" w:rsidP="00AB5F50">
      <w:pPr>
        <w:spacing w:after="0" w:line="360" w:lineRule="auto"/>
        <w:ind w:firstLine="720"/>
        <w:jc w:val="both"/>
      </w:pPr>
      <w:r>
        <w:t xml:space="preserve">A preocupação da Contabilidade Ambiental </w:t>
      </w:r>
      <w:r>
        <w:t>é com o meio ambiente e sua preservação, com o reconhecimento, mensuração e evidenciação de informações sociais, econômicas e ambientais e com o estudo do patrimônio ambiental, para fins de mensurar e avaliar o quanto uma entidade pode contribuir e gerar i</w:t>
      </w:r>
      <w:r>
        <w:t>mpacto na sociedade e no meio ambiente a partir das atividades econômicas (Bandeira; Sousa; Santos, 2022).</w:t>
      </w:r>
    </w:p>
    <w:p w14:paraId="52D0665D" w14:textId="77777777" w:rsidR="00643609" w:rsidRDefault="000651AA" w:rsidP="00AB5F50">
      <w:pPr>
        <w:spacing w:after="0" w:line="360" w:lineRule="auto"/>
        <w:ind w:firstLine="720"/>
        <w:jc w:val="both"/>
      </w:pPr>
      <w:r>
        <w:t xml:space="preserve">Diante dela é possível oferecer aos usuários informações ambientais que servem como critério em suas tomadas de decisões e como base para o </w:t>
      </w:r>
      <w:r>
        <w:lastRenderedPageBreak/>
        <w:t>conhecime</w:t>
      </w:r>
      <w:r>
        <w:t>nto do papel da empresa (Bandeira; Sousa; Santos, 2022). A Contabilidade Ambiental é importante por aplicar a contabilidade financeira aos aspectos da gestão da responsabilidade socioambiental, agindo como proteção para a sociedade e prevendo impactos caus</w:t>
      </w:r>
      <w:r>
        <w:t>ados pelo crescimento econômico das organizações (Bandeira; Sousa; Santos, 2022). A entidade que aceita suas responsabilidades ambientais, futuramente diminuirá seu risco financeiro, decorrente de causas ambientais (Costa, 2012).</w:t>
      </w:r>
    </w:p>
    <w:p w14:paraId="1FF3DF58" w14:textId="77777777" w:rsidR="00643609" w:rsidRDefault="000651AA" w:rsidP="00AB5F50">
      <w:pPr>
        <w:spacing w:after="0" w:line="360" w:lineRule="auto"/>
        <w:ind w:firstLine="720"/>
        <w:jc w:val="both"/>
      </w:pPr>
      <w:r>
        <w:t>No decorrer dos anos, a re</w:t>
      </w:r>
      <w:r>
        <w:t>sponsabilidade empresarial tornou-se um fator importante de cobrança nos quesitos referentes ao meio ambiente e à sustentabilidade, e a necessidade de informações que transparecessem suas ações no campo social (Teixeira</w:t>
      </w:r>
      <w:r>
        <w:rPr>
          <w:i/>
        </w:rPr>
        <w:t xml:space="preserve"> et al.,</w:t>
      </w:r>
      <w:r>
        <w:t xml:space="preserve"> 2024). Conforme, o Instituto</w:t>
      </w:r>
      <w:r>
        <w:t xml:space="preserve"> Ethos (2007), as primeiras tentativas para o desenvolvimento de Balanços Sociais surgiram nos anos 70, na França, com um balanço anual que dava ênfase às práticas trabalhistas.</w:t>
      </w:r>
    </w:p>
    <w:p w14:paraId="69CBF979" w14:textId="77777777" w:rsidR="00643609" w:rsidRDefault="000651AA" w:rsidP="00AB5F50">
      <w:pPr>
        <w:spacing w:after="0" w:line="360" w:lineRule="auto"/>
        <w:ind w:firstLine="720"/>
        <w:jc w:val="both"/>
      </w:pPr>
      <w:r>
        <w:t>No Brasil, a divulgação foi realizada em 1978, pela Fundação Instituto de Dese</w:t>
      </w:r>
      <w:r>
        <w:t>nvolvimento Empresarial e Social (FIDES), em 1984 o primeiro Balanço Social brasileiro foi divulgado pela empresa Nitro Fértil, com direcionamento aos seus funcionários. Em 1997, o IBASE lançou a primeira campanha para a divulgação do balanço social volunt</w:t>
      </w:r>
      <w:r>
        <w:t>ária (Teixeira</w:t>
      </w:r>
      <w:r>
        <w:rPr>
          <w:i/>
        </w:rPr>
        <w:t xml:space="preserve"> et al.,</w:t>
      </w:r>
      <w:r>
        <w:t xml:space="preserve"> 2024).</w:t>
      </w:r>
    </w:p>
    <w:p w14:paraId="512E943D" w14:textId="77777777" w:rsidR="00643609" w:rsidRDefault="000651AA" w:rsidP="00AB5F50">
      <w:pPr>
        <w:spacing w:after="0" w:line="360" w:lineRule="auto"/>
        <w:ind w:firstLine="720"/>
        <w:jc w:val="both"/>
      </w:pPr>
      <w:r>
        <w:t xml:space="preserve">O Instituto Brasileiro de Análises Sociais e Econômicas (IBASE) iniciou sua trajetória por volta de 1980, pelo sociólogo Herbert de Souza, que lutava pelas causas sociais, como a luta contra AIDS, campanhas contra fome, entre </w:t>
      </w:r>
      <w:r>
        <w:t>outros feitos pelo sociólogo realizado por meio de ação para o surgimento do modelo de balanço social, pois gerou a aproximação do setor empresarial com os problemas sociais (Teixeira</w:t>
      </w:r>
      <w:r>
        <w:rPr>
          <w:i/>
        </w:rPr>
        <w:t xml:space="preserve"> et al.,</w:t>
      </w:r>
      <w:r>
        <w:t xml:space="preserve"> 2024). T</w:t>
      </w:r>
    </w:p>
    <w:p w14:paraId="02F9B69D" w14:textId="77777777" w:rsidR="00643609" w:rsidRDefault="000651AA" w:rsidP="00AB5F50">
      <w:pPr>
        <w:spacing w:after="0" w:line="360" w:lineRule="auto"/>
        <w:ind w:firstLine="720"/>
        <w:jc w:val="both"/>
      </w:pPr>
      <w:r>
        <w:t>Todavia, o acompanhamento das questões sociais pela ent</w:t>
      </w:r>
      <w:r>
        <w:t>idade leva ao percurso da sustentabilidade e é através das ações sociais que se possibilita o alcance da credibilidade social corporativa (Ricardo; Barcellos; Bortolon, 2017).</w:t>
      </w:r>
    </w:p>
    <w:p w14:paraId="40DF5F54" w14:textId="77777777" w:rsidR="00643609" w:rsidRDefault="000651AA" w:rsidP="00AB5F50">
      <w:pPr>
        <w:spacing w:after="0" w:line="360" w:lineRule="auto"/>
        <w:ind w:firstLine="720"/>
        <w:jc w:val="both"/>
      </w:pPr>
      <w:r>
        <w:t>Em 2010, foi criado o Relato Integrado que vem ganhando destaque no mundo corpor</w:t>
      </w:r>
      <w:r>
        <w:t>ativo e chama atenção no intuito de fusão do</w:t>
      </w:r>
      <w:r>
        <w:rPr>
          <w:i/>
        </w:rPr>
        <w:t xml:space="preserve"> The International Integrated Reporting Council e Sustainabilit Accounting Standard Board (SASB)</w:t>
      </w:r>
      <w:r>
        <w:t xml:space="preserve"> para a criação do</w:t>
      </w:r>
      <w:r>
        <w:rPr>
          <w:i/>
        </w:rPr>
        <w:t xml:space="preserve"> Value Reporting Foundation</w:t>
      </w:r>
      <w:r>
        <w:t>, realizado em dezembro de 2020 (Zaro, 2021).</w:t>
      </w:r>
    </w:p>
    <w:p w14:paraId="5458FF7F" w14:textId="77777777" w:rsidR="00643609" w:rsidRDefault="000651AA" w:rsidP="00AB5F50">
      <w:pPr>
        <w:spacing w:after="0" w:line="360" w:lineRule="auto"/>
        <w:ind w:firstLine="720"/>
        <w:jc w:val="both"/>
      </w:pPr>
      <w:r>
        <w:t xml:space="preserve">O intuito do Relato </w:t>
      </w:r>
      <w:r>
        <w:t xml:space="preserve">Integrado é incentivar as empresas adotarem um processo de relatar, que considere a conectividade e a interdependência de fatores financeiros </w:t>
      </w:r>
      <w:r>
        <w:lastRenderedPageBreak/>
        <w:t>e não financeiros, para mostrar como a empresa gera valor, e, não se limitando à divulgação de um documento especí</w:t>
      </w:r>
      <w:r>
        <w:t>fico, mas uma adequação de todo o processo de produção da informação, que deve refletir como a gestão enxerga a empresa (Iirc, 2013).</w:t>
      </w:r>
    </w:p>
    <w:p w14:paraId="754E7DC8" w14:textId="77777777" w:rsidR="00643609" w:rsidRDefault="000651AA" w:rsidP="00AB5F50">
      <w:pPr>
        <w:spacing w:after="0" w:line="360" w:lineRule="auto"/>
        <w:ind w:firstLine="720"/>
        <w:jc w:val="both"/>
      </w:pPr>
      <w:r>
        <w:t>Na Contabilidade Ambiental, além do Relato Integrado, há o Relatório de Sustentabilidade, no qual várias entidades procura</w:t>
      </w:r>
      <w:r>
        <w:t>m demonstrar seu desempenho através desse Relatório (Iirc, 2013). Um padrão universalmente aceito no que se refere a esses relatórios é o</w:t>
      </w:r>
      <w:r>
        <w:rPr>
          <w:i/>
        </w:rPr>
        <w:t xml:space="preserve"> Global Reporting Initiative (GRI)</w:t>
      </w:r>
      <w:r>
        <w:t>, o qual surgiu em 1997, criado de modo independente em Boston. Desde então, com esse</w:t>
      </w:r>
      <w:r>
        <w:t xml:space="preserve"> modelo as empresas podem relatar suas causas mais relevantes no desenvolvimento sustentável (Ricardo; Barcellos; Bortolon, 2017).</w:t>
      </w:r>
    </w:p>
    <w:p w14:paraId="5F3C48E8" w14:textId="77777777" w:rsidR="00643609" w:rsidRDefault="000651AA" w:rsidP="00AB5F50">
      <w:pPr>
        <w:spacing w:after="0" w:line="360" w:lineRule="auto"/>
        <w:ind w:firstLine="720"/>
        <w:jc w:val="both"/>
      </w:pPr>
      <w:r>
        <w:t>O modelo foca em proporcionar o conceito de princípios e conteúdos a serem mencionados e é um manual de aplicação para criaçã</w:t>
      </w:r>
      <w:r>
        <w:t>o do relatório de sustentabilidade, incluindo as categorias econômica, ambiental e social (Ricardo; Barcellos; Bortolon, 2017).Tais relatórios focam na divulgação de informações sobre os impactos de uma organização sobre a sociedade, a economia e o meio am</w:t>
      </w:r>
      <w:r>
        <w:t>biente, sejam esses positivos ou negativos (Ricardo; Barcellos; Bortolon, 2017).</w:t>
      </w:r>
    </w:p>
    <w:p w14:paraId="26C5D1D0" w14:textId="77777777" w:rsidR="00643609" w:rsidRDefault="000651AA" w:rsidP="00AB5F50">
      <w:pPr>
        <w:spacing w:after="0" w:line="360" w:lineRule="auto"/>
        <w:ind w:firstLine="720"/>
        <w:jc w:val="both"/>
      </w:pPr>
      <w:r>
        <w:t xml:space="preserve">A ordem estabelecida pelo IIRC demostra os princípios básicos para o planejamento do relato e os elementos de conteúdo, instituindo que devem ser adicionadas </w:t>
      </w:r>
      <w:r>
        <w:t>informações quantitativas e qualitativas, normalmente coordenadas em capitais, a saber, financeiro, manufaturado, intelectual, humano, social, de relacionamento e natural (Ricardo; Barcellos; Bortolon, 2017).</w:t>
      </w:r>
    </w:p>
    <w:p w14:paraId="0E0ED0C3" w14:textId="77777777" w:rsidR="00643609" w:rsidRDefault="000651AA" w:rsidP="00AB5F50">
      <w:pPr>
        <w:spacing w:after="0" w:line="360" w:lineRule="auto"/>
        <w:ind w:firstLine="720"/>
        <w:jc w:val="both"/>
      </w:pPr>
      <w:r>
        <w:t>No ano de 2022, o</w:t>
      </w:r>
      <w:r>
        <w:rPr>
          <w:i/>
        </w:rPr>
        <w:t xml:space="preserve"> International Sustainability </w:t>
      </w:r>
      <w:r>
        <w:rPr>
          <w:i/>
        </w:rPr>
        <w:t>Standards Board</w:t>
      </w:r>
      <w:r>
        <w:t xml:space="preserve"> (ISSB), divulgou o</w:t>
      </w:r>
      <w:r>
        <w:rPr>
          <w:i/>
        </w:rPr>
        <w:t xml:space="preserve"> Exposure Draft IFRS S1</w:t>
      </w:r>
      <w:r>
        <w:t>, que restringe as premissas gerais, a fim de uma organização exibir suas informações financeiras envolvendo suas oportunidades e riscos significativos, relacionados a sustentabilidade. A partir do m</w:t>
      </w:r>
      <w:r>
        <w:t>omento que o novo padrão for publicado, as entidades precisarão acatar as premissas gerais o mais rápido possível, para perdurar a conformidade com as leis (Santos; Assis, 2023).</w:t>
      </w:r>
    </w:p>
    <w:p w14:paraId="696B8528" w14:textId="77777777" w:rsidR="00643609" w:rsidRDefault="000651AA" w:rsidP="00AB5F50">
      <w:pPr>
        <w:spacing w:after="0" w:line="360" w:lineRule="auto"/>
        <w:ind w:firstLine="720"/>
        <w:jc w:val="both"/>
      </w:pPr>
      <w:r>
        <w:t xml:space="preserve">O propósito da divulgação da IFRS S1 é propor quais normas deve ser seguidas </w:t>
      </w:r>
      <w:r>
        <w:t>pelas entidades do setor público e setor privado (Santos; Assis, 2023). Existe um estímulo para as empresas publicarem em seus relatórios sobre governança, métricas e metas, gerenciamento de riscos e estratégia, mas há algumas exigências que devem ser segu</w:t>
      </w:r>
      <w:r>
        <w:t xml:space="preserve">idas, como o tempo de divulgação dos </w:t>
      </w:r>
      <w:r>
        <w:lastRenderedPageBreak/>
        <w:t>relatórios de sustentabilidade, os quais necessitam conciliar com a divulgação dos relatórios financeiros (Santos; Assis, 2023).</w:t>
      </w:r>
    </w:p>
    <w:p w14:paraId="5CE031D6" w14:textId="77777777" w:rsidR="00643609" w:rsidRDefault="000651AA" w:rsidP="00AB5F50">
      <w:pPr>
        <w:spacing w:after="0" w:line="360" w:lineRule="auto"/>
        <w:ind w:firstLine="720"/>
        <w:jc w:val="both"/>
      </w:pPr>
      <w:r>
        <w:t>A próxima exigência seria a exposição a falhas cometidas na emissão dos relatórios, na IFR</w:t>
      </w:r>
      <w:r>
        <w:t>S S1 recomendam que as entidades revisem as falhas e refaçam de maneira correta, mostrando também a natureza dela (Santos; Assis, 2023).</w:t>
      </w:r>
    </w:p>
    <w:p w14:paraId="1FE4C492" w14:textId="77777777" w:rsidR="00643609" w:rsidRDefault="000651AA" w:rsidP="00AB5F50">
      <w:pPr>
        <w:spacing w:after="0" w:line="360" w:lineRule="auto"/>
        <w:ind w:firstLine="720"/>
        <w:jc w:val="both"/>
      </w:pPr>
      <w:r>
        <w:rPr>
          <w:b/>
        </w:rPr>
        <w:t>2.2. Estudos anteriores</w:t>
      </w:r>
    </w:p>
    <w:p w14:paraId="2655E91C" w14:textId="77777777" w:rsidR="00643609" w:rsidRDefault="000651AA" w:rsidP="00AB5F50">
      <w:pPr>
        <w:spacing w:after="0" w:line="360" w:lineRule="auto"/>
        <w:ind w:firstLine="720"/>
        <w:jc w:val="both"/>
      </w:pPr>
      <w:r>
        <w:t>O estudo de Silva (2019) tem como objetivo averiguar a concepção dos profissionais de Contabili</w:t>
      </w:r>
      <w:r>
        <w:t>dade quanto a sua formação no atendimento as demandas causadas pela sustentabilidade empresarial. Tem como objetivos específicos: Descrever os conceitos da Contabilidade Ambiental; Avaliar o nível de conhecimento dos profissionais da área Contábil sobre os</w:t>
      </w:r>
      <w:r>
        <w:t xml:space="preserve"> temas relacionados à sustentabilidade empresarial; contribuir com a literatura e com os resultados apurados na pesquisa (Silva, 2019).</w:t>
      </w:r>
    </w:p>
    <w:p w14:paraId="48DCA95E" w14:textId="77777777" w:rsidR="00643609" w:rsidRDefault="000651AA" w:rsidP="00AB5F50">
      <w:pPr>
        <w:spacing w:after="0" w:line="360" w:lineRule="auto"/>
        <w:ind w:firstLine="720"/>
        <w:jc w:val="both"/>
      </w:pPr>
      <w:r>
        <w:t xml:space="preserve">Os resultados do estudo mostram que grande parte dos Contadores são responsáveis por promover à transparência das ações </w:t>
      </w:r>
      <w:r>
        <w:t>da empresa a procura do desenvolvimento sustentável através dos Demonstrativos Contábeis. É notório que, a contribuição da pesquisa quanto à necessidade de crescimento dos contadores para se concentrarem nos interesses da sociedade quando há transparências</w:t>
      </w:r>
      <w:r>
        <w:t xml:space="preserve"> das atividades que causam efeito ao meio ambiente (Silva, 2019).</w:t>
      </w:r>
    </w:p>
    <w:p w14:paraId="545A5EF4" w14:textId="77777777" w:rsidR="00643609" w:rsidRDefault="000651AA" w:rsidP="00AB5F50">
      <w:pPr>
        <w:spacing w:after="0" w:line="360" w:lineRule="auto"/>
        <w:ind w:firstLine="720"/>
        <w:jc w:val="both"/>
      </w:pPr>
      <w:r>
        <w:t>O estudo de Pereira e Capellini (2021) tem como objetivo analisar os relatórios ambientais das principais empresas de mineração do Brasil, a Vale e a Samarco. Os relatórios de sustentabilida</w:t>
      </w:r>
      <w:r>
        <w:t>de dessas empresas são divulgados anualmente, mas não imediatamente no exercício (Pereira; Capellini, 2021). Essa pesquisa facilitou o entendimento sobre a Contabilidade Ambiental utilizada nas empresas, e que se as empresas usarem de forma correta será be</w:t>
      </w:r>
      <w:r>
        <w:t>m-sucedido diante da sociedade, investidores e com a procura de proteção do meio ambiente (Pereira; Capellini, 2021).</w:t>
      </w:r>
    </w:p>
    <w:p w14:paraId="29F98E62" w14:textId="77777777" w:rsidR="00643609" w:rsidRDefault="000651AA" w:rsidP="00AB5F50">
      <w:pPr>
        <w:spacing w:after="0" w:line="360" w:lineRule="auto"/>
        <w:ind w:firstLine="720"/>
        <w:jc w:val="both"/>
      </w:pPr>
      <w:r>
        <w:t>O estudo de Santos Júnior</w:t>
      </w:r>
      <w:r>
        <w:rPr>
          <w:i/>
        </w:rPr>
        <w:t xml:space="preserve"> et al.</w:t>
      </w:r>
      <w:r>
        <w:t xml:space="preserve"> (2022) tem como objetivo geral demonstrar a importância da Contabilidade Ambiental como instrumento da co</w:t>
      </w:r>
      <w:r>
        <w:t>ntabilidade e de responsabilidade social empresarial. Além disso, a pesquisa define como objetos específicos: apresentar os principais fundamentos teóricos da Contabilidade Ambiental; evidenciar a relevância da contabilidade ambiental na demonstração do pr</w:t>
      </w:r>
      <w:r>
        <w:t>ocedimento responsável da entidade e; mostrar a importância que a Contabilidade Ambiental gera para a entidade (Santos Júnior</w:t>
      </w:r>
      <w:r>
        <w:rPr>
          <w:i/>
        </w:rPr>
        <w:t xml:space="preserve"> et al.</w:t>
      </w:r>
      <w:r>
        <w:t>, 2022).</w:t>
      </w:r>
    </w:p>
    <w:p w14:paraId="65D813F9" w14:textId="77777777" w:rsidR="00643609" w:rsidRDefault="000651AA" w:rsidP="00AB5F50">
      <w:pPr>
        <w:spacing w:after="0" w:line="360" w:lineRule="auto"/>
        <w:ind w:firstLine="720"/>
        <w:jc w:val="both"/>
      </w:pPr>
      <w:r>
        <w:lastRenderedPageBreak/>
        <w:t>Os resultados do estudo demonstraram que as empresas encontraram um modo de se responsabilizar pelos compromissos a</w:t>
      </w:r>
      <w:r>
        <w:t>mbientais que gera vantagem competitiva e resultados favoráveis para seus negócios; além do mais, consumidores passaram a apreciar e consumir produtos e serviços de empresas que aceitam práticas de sustentabilidade e responsabilidade social (Santos Júnior</w:t>
      </w:r>
      <w:r>
        <w:rPr>
          <w:i/>
        </w:rPr>
        <w:t xml:space="preserve"> </w:t>
      </w:r>
      <w:r>
        <w:rPr>
          <w:i/>
        </w:rPr>
        <w:t>et al.</w:t>
      </w:r>
      <w:r>
        <w:t>, 2022).</w:t>
      </w:r>
    </w:p>
    <w:p w14:paraId="2D833783" w14:textId="77777777" w:rsidR="00643609" w:rsidRDefault="000651AA" w:rsidP="00AB5F50">
      <w:pPr>
        <w:spacing w:after="0" w:line="360" w:lineRule="auto"/>
        <w:ind w:firstLine="720"/>
        <w:jc w:val="both"/>
      </w:pPr>
      <w:r>
        <w:t>O estudo ressaltou que as principais contribuições da Contabilidade Ambiental são como um relevante instrumento para amparar o empresário na administração das políticas ambientais de uso gerencial, por meio da condução e contabilização dos e</w:t>
      </w:r>
      <w:r>
        <w:t>ventos ambientais, nos moldes da sustentabilidade, independente do segmento econômico (Santos Júnior</w:t>
      </w:r>
      <w:r>
        <w:rPr>
          <w:i/>
        </w:rPr>
        <w:t xml:space="preserve"> et al.</w:t>
      </w:r>
      <w:r>
        <w:t>, 2022).</w:t>
      </w:r>
    </w:p>
    <w:p w14:paraId="1DF56054" w14:textId="77777777" w:rsidR="00643609" w:rsidRDefault="000651AA" w:rsidP="00AB5F50">
      <w:pPr>
        <w:spacing w:after="0" w:line="360" w:lineRule="auto"/>
        <w:ind w:firstLine="720"/>
        <w:jc w:val="both"/>
      </w:pPr>
      <w:r>
        <w:t>O estudo de Beneduzi (2023) tem como objetivo geral analisar os registros contábeis específicos relacionados à contabilidade ambiental das c</w:t>
      </w:r>
      <w:r>
        <w:t>orporações listadas na B3. Além do mais, apresenta como objetivos específicos: identificar os registros contábeis de questões ambientais; analisar o teor informacional dos registros contábeis ambientais e; identificar o nível de detalhamento das informaçõe</w:t>
      </w:r>
      <w:r>
        <w:t>s ambientais (Beneduzi, 2023). Portanto, concluiu-se que embora todas as corporações demonstrem algum tipo de registro contábil ambiental, a evidenciação ocorreu de forma limitada e heterogênea, seguindo os métodos estabelecidos particularmente por cada co</w:t>
      </w:r>
      <w:r>
        <w:t>mpanhia (Beneduzi, 2023).</w:t>
      </w:r>
    </w:p>
    <w:p w14:paraId="697D31C8" w14:textId="77777777" w:rsidR="00643609" w:rsidRDefault="000651AA" w:rsidP="00AB5F50">
      <w:pPr>
        <w:spacing w:after="0" w:line="360" w:lineRule="auto"/>
        <w:ind w:firstLine="720"/>
        <w:jc w:val="both"/>
      </w:pPr>
      <w:r>
        <w:t>O estudo de Padilha</w:t>
      </w:r>
      <w:r>
        <w:rPr>
          <w:i/>
        </w:rPr>
        <w:t xml:space="preserve"> et al.</w:t>
      </w:r>
      <w:r>
        <w:t xml:space="preserve"> (2024) tem como objetivo geral identificar as estratégias contemporâneas incorporadas pelas organizações que pretendem utilizar a sustentabilidade como um diferencial competitivo (Padilha et al., 2024). </w:t>
      </w:r>
      <w:r>
        <w:t>Esse artigo evidenciou que não são todas as entidades que enfrentam a sustentabilidade com exatidão, sendo o aspecto sustentável algo mais específico das entidades de grande porte. Além do mais, quando se refere à questão ambiental não depende apenas das e</w:t>
      </w:r>
      <w:r>
        <w:t>ntidades, mas também da sociedade e do governo para que haja uma mudança significativa que favoreça o meio ambiente (Padilha et al., 2024).</w:t>
      </w:r>
    </w:p>
    <w:p w14:paraId="02EBB980" w14:textId="1C464C3E" w:rsidR="00643609" w:rsidRDefault="000651AA" w:rsidP="00AB5F50">
      <w:pPr>
        <w:spacing w:after="0" w:line="360" w:lineRule="auto"/>
        <w:ind w:firstLine="720"/>
        <w:jc w:val="both"/>
      </w:pPr>
      <w:r>
        <w:t>Com base nesses estudos apresentados pode se afirmar que a Contabilidade Ambiental é importante tanto para as empres</w:t>
      </w:r>
      <w:r>
        <w:t>as quanto para seus usuários, pois ela é um instrumento da Contabilidade. Além disso, se for usada de maneira correta pelas entidades, elas tornam-se bem-sucedidas.</w:t>
      </w:r>
    </w:p>
    <w:p w14:paraId="28380FEF" w14:textId="2E2C847B" w:rsidR="00643609" w:rsidRDefault="00AB5F50" w:rsidP="00AB5F50">
      <w:r>
        <w:br w:type="page"/>
      </w:r>
      <w:r w:rsidR="000651AA">
        <w:rPr>
          <w:b/>
        </w:rPr>
        <w:lastRenderedPageBreak/>
        <w:t>3. METODOLOGIA</w:t>
      </w:r>
    </w:p>
    <w:p w14:paraId="09C812A8" w14:textId="77777777" w:rsidR="00643609" w:rsidRDefault="000651AA" w:rsidP="00AB5F50">
      <w:pPr>
        <w:spacing w:after="0" w:line="360" w:lineRule="auto"/>
        <w:ind w:firstLine="720"/>
        <w:jc w:val="both"/>
      </w:pPr>
      <w:r>
        <w:t>O presente estudo tem como foco a Companhia Energética de Minas Gerais (CEMI</w:t>
      </w:r>
      <w:r>
        <w:t>G) e visa analisar os indicadores ambientais da empresa no período de 2020 a 2023. Para alcançar esse objetivo, será realizada uma pesquisa documental, com ênfase na verificação desses indicadores nos Relatórios Anuais de Responsabilidade Socioambiental da</w:t>
      </w:r>
      <w:r>
        <w:t xml:space="preserve"> CEMIG. A pesquisa documental consiste em uma análise detalhada dos documentos, com o intuito de identificar se as informações são pertinentes ao estudo, sendo esta abordagem um passo fundamental em pesquisas qualitativas (Santos Júnior et al., 2022).</w:t>
      </w:r>
    </w:p>
    <w:p w14:paraId="5B805E71" w14:textId="77777777" w:rsidR="00643609" w:rsidRDefault="000651AA" w:rsidP="00AB5F50">
      <w:pPr>
        <w:spacing w:after="0" w:line="360" w:lineRule="auto"/>
        <w:ind w:firstLine="720"/>
        <w:jc w:val="both"/>
      </w:pPr>
      <w:r>
        <w:t>Cara</w:t>
      </w:r>
      <w:r>
        <w:t>cteriza-se como uma pesquisa bibliográfica, descritiva, documental e de abordagem qualitativa. A pesquisa bibliográfica busca levantar informações sobre os temas de Contabilidade Ambiental, Sustentabilidade e Desenvolvimento Sustentável em edições anterior</w:t>
      </w:r>
      <w:r>
        <w:t xml:space="preserve">es, com o objetivo de atualizar, aprimorar e expandir o entendimento sobre esses tópicos, contribuindo significativamente para o desenvolvimento da pesquisa. Essa etapa é essencial em qualquer trabalho científico, pois fundamenta e orienta todas as demais </w:t>
      </w:r>
      <w:r>
        <w:t>fases da investigação, envolvendo o repertório, a seleção, o fichamento e o arquivamento dos dados relevantes para o estudo (Sousa; Oliveira; Alves, 2021).</w:t>
      </w:r>
    </w:p>
    <w:p w14:paraId="66B403B8" w14:textId="77777777" w:rsidR="00643609" w:rsidRDefault="000651AA" w:rsidP="00AB5F50">
      <w:pPr>
        <w:spacing w:after="0" w:line="360" w:lineRule="auto"/>
        <w:ind w:firstLine="720"/>
        <w:jc w:val="both"/>
      </w:pPr>
      <w:r>
        <w:t>A pesquisa descritiva tem como principal finalidade a identificação, registro e análise dos indicado</w:t>
      </w:r>
      <w:r>
        <w:t>res ambientais da CEMIG. Essa abordagem contribui ao fornecer uma nova perspectiva sobre uma realidade já observada (Nunes; Nascimento; Luz, 2018). A coleta de dados será realizada por meio dos Relatórios Anuais de Responsabilidade Socioambiental da CEMIG,</w:t>
      </w:r>
      <w:r>
        <w:t xml:space="preserve"> disponíveis no site oficial da companhia. O foco será a extração e análise dos indicadores ambientais referentes aos anos de 2020 a 2023.</w:t>
      </w:r>
    </w:p>
    <w:p w14:paraId="22FF8E8D" w14:textId="77777777" w:rsidR="00643609" w:rsidRDefault="000651AA" w:rsidP="00AB5F50">
      <w:pPr>
        <w:spacing w:after="0" w:line="360" w:lineRule="auto"/>
        <w:ind w:firstLine="720"/>
        <w:jc w:val="both"/>
      </w:pPr>
      <w:r>
        <w:t>Em relação aos procedimentos metodológicos, a técnica de análise de conteúdo será empregada, caracterizando a análise</w:t>
      </w:r>
      <w:r>
        <w:t xml:space="preserve"> documental como uma forma de condensar as informações, facilitando sua consulta e armazenamento (Santos, 2012).</w:t>
      </w:r>
    </w:p>
    <w:p w14:paraId="410C6F7E" w14:textId="77777777" w:rsidR="00643609" w:rsidRDefault="000651AA" w:rsidP="00AB5F50">
      <w:pPr>
        <w:spacing w:after="0" w:line="360" w:lineRule="auto"/>
        <w:ind w:firstLine="720"/>
        <w:jc w:val="both"/>
      </w:pPr>
      <w:r>
        <w:t>A comparação entre os relatórios publicados pela CEMIG será realizada na evolução de um ano para o outro dos quatro parâmetros de indicadores a</w:t>
      </w:r>
      <w:r>
        <w:t>mbientais:</w:t>
      </w:r>
    </w:p>
    <w:p w14:paraId="151E1E6D" w14:textId="77777777" w:rsidR="00643609" w:rsidRDefault="000651AA" w:rsidP="00AB5F50">
      <w:pPr>
        <w:spacing w:after="0" w:line="360" w:lineRule="auto"/>
        <w:ind w:firstLine="720"/>
        <w:jc w:val="both"/>
      </w:pPr>
      <w:r>
        <w:t>1 – Recuperação por áreas degradadas e desempenho ambiental;</w:t>
      </w:r>
    </w:p>
    <w:p w14:paraId="3F81F36B" w14:textId="77777777" w:rsidR="00643609" w:rsidRDefault="000651AA" w:rsidP="00AB5F50">
      <w:pPr>
        <w:spacing w:after="0" w:line="360" w:lineRule="auto"/>
        <w:ind w:firstLine="720"/>
        <w:jc w:val="both"/>
      </w:pPr>
      <w:r>
        <w:t>2 – Educação e conscientização ambiental na organização e na comunidade;</w:t>
      </w:r>
    </w:p>
    <w:p w14:paraId="77643612" w14:textId="77777777" w:rsidR="00643609" w:rsidRDefault="000651AA" w:rsidP="00AB5F50">
      <w:pPr>
        <w:spacing w:after="0" w:line="360" w:lineRule="auto"/>
        <w:ind w:firstLine="720"/>
        <w:jc w:val="both"/>
      </w:pPr>
      <w:r>
        <w:lastRenderedPageBreak/>
        <w:t>3 – Consumo de energia elétrica; consumo de combustíveis e consumo energético;</w:t>
      </w:r>
    </w:p>
    <w:p w14:paraId="5A7B4773" w14:textId="77777777" w:rsidR="00643609" w:rsidRDefault="000651AA" w:rsidP="00AB5F50">
      <w:pPr>
        <w:spacing w:after="0" w:line="360" w:lineRule="auto"/>
        <w:ind w:firstLine="720"/>
        <w:jc w:val="both"/>
      </w:pPr>
      <w:r>
        <w:t>4 – Consumo de água e geração de</w:t>
      </w:r>
      <w:r>
        <w:t xml:space="preserve"> efluentes.</w:t>
      </w:r>
    </w:p>
    <w:p w14:paraId="4670EACE" w14:textId="77777777" w:rsidR="00643609" w:rsidRDefault="000651AA" w:rsidP="00AB5F50">
      <w:pPr>
        <w:spacing w:after="0" w:line="360" w:lineRule="auto"/>
        <w:ind w:firstLine="720"/>
        <w:jc w:val="both"/>
      </w:pPr>
      <w:r>
        <w:t>Proporcionando assim, atender ao objetivo de analisar os indicadores de desenvolvimento sustentável e de impactos ambientais e sua comparação evolutiva de investimentos proporcionados pela empresa para o desenvolvimento sustentável e reduções n</w:t>
      </w:r>
      <w:r>
        <w:t>os impactos ambientais.</w:t>
      </w:r>
    </w:p>
    <w:p w14:paraId="74ECCD7B" w14:textId="34E36C2A" w:rsidR="00643609" w:rsidRDefault="000651AA" w:rsidP="00AB5F50">
      <w:pPr>
        <w:spacing w:after="0" w:line="360" w:lineRule="auto"/>
        <w:ind w:firstLine="720"/>
        <w:jc w:val="both"/>
      </w:pPr>
      <w:r>
        <w:t>As limitações desse estudo podem ter sido causadas pela pandemia da COVID-19, pois em 2020 foi um ano de mudanças e que pode ter impactado nas ações da companhia.</w:t>
      </w:r>
    </w:p>
    <w:p w14:paraId="13B96632" w14:textId="77777777" w:rsidR="00AB5F50" w:rsidRDefault="00AB5F50" w:rsidP="00AB5F50">
      <w:pPr>
        <w:spacing w:after="0" w:line="360" w:lineRule="auto"/>
        <w:ind w:firstLine="720"/>
        <w:jc w:val="both"/>
      </w:pPr>
    </w:p>
    <w:p w14:paraId="3B93D00F" w14:textId="6899A22A" w:rsidR="00643609" w:rsidRDefault="000651AA" w:rsidP="00AB5F50">
      <w:pPr>
        <w:spacing w:after="0" w:line="360" w:lineRule="auto"/>
        <w:jc w:val="both"/>
        <w:rPr>
          <w:b/>
        </w:rPr>
      </w:pPr>
      <w:r>
        <w:rPr>
          <w:b/>
        </w:rPr>
        <w:t>4. ANÁLISE DOS RESULTADOS</w:t>
      </w:r>
    </w:p>
    <w:p w14:paraId="68EF0E61" w14:textId="77777777" w:rsidR="00AB5F50" w:rsidRDefault="00AB5F50" w:rsidP="00AB5F50">
      <w:pPr>
        <w:spacing w:after="0" w:line="360" w:lineRule="auto"/>
        <w:ind w:firstLine="720"/>
        <w:jc w:val="both"/>
      </w:pPr>
    </w:p>
    <w:p w14:paraId="30A1AA57" w14:textId="77777777" w:rsidR="00643609" w:rsidRDefault="000651AA" w:rsidP="00AB5F50">
      <w:pPr>
        <w:spacing w:after="0" w:line="360" w:lineRule="auto"/>
        <w:ind w:firstLine="720"/>
        <w:jc w:val="both"/>
      </w:pPr>
      <w:r>
        <w:t>A Companhia Energética de Minas Gerais (CEM</w:t>
      </w:r>
      <w:r>
        <w:t>IG) é uma</w:t>
      </w:r>
      <w:r>
        <w:rPr>
          <w:i/>
        </w:rPr>
        <w:t xml:space="preserve"> holding</w:t>
      </w:r>
      <w:r>
        <w:t xml:space="preserve"> composta por 185 sociedades, 14 consórcios e dois fundos de investimentos em participações. A empresa também possui ativos e negócios em 25 estados brasileiros e no Distrito Federal. Fundada em 22 de maio de 1952, a CEMIG atua nas áreas de geração, transm</w:t>
      </w:r>
      <w:r>
        <w:t>issão, distribuição e comercialização de energia elétrica, na distribuição de gás natural e no uso eficiente de energia (Relatório Anual de Responsabilidade Socioambiental CEMIG D, 2020).</w:t>
      </w:r>
    </w:p>
    <w:p w14:paraId="45108BBE" w14:textId="77777777" w:rsidR="00643609" w:rsidRDefault="000651AA" w:rsidP="00AB5F50">
      <w:pPr>
        <w:spacing w:after="0" w:line="360" w:lineRule="auto"/>
        <w:ind w:firstLine="720"/>
        <w:jc w:val="both"/>
      </w:pPr>
      <w:r>
        <w:t xml:space="preserve">A gestão ambiental da CEMIG está alinhada à estratégia da </w:t>
      </w:r>
      <w:r>
        <w:t>companhia, por meio de práticas corporativas que visam a redução do risco ambiental, a prevenção da poluição, o atendimento à legislação e a melhoria na padronização das informações ambientais (Relatório Anual de Responsabilidade Socioambiental CEMIG D, 20</w:t>
      </w:r>
      <w:r>
        <w:t>20). E para a realização dessa pesquisa, buscou-se o período de 2020 a 2023 na extração e análise dos indicadores ambientais.</w:t>
      </w:r>
    </w:p>
    <w:p w14:paraId="26CDE472" w14:textId="77777777" w:rsidR="00643609" w:rsidRDefault="000651AA" w:rsidP="00AB5F50">
      <w:pPr>
        <w:spacing w:after="0" w:line="360" w:lineRule="auto"/>
        <w:ind w:firstLine="720"/>
        <w:jc w:val="both"/>
      </w:pPr>
      <w:r>
        <w:t xml:space="preserve">Em 2020, a CEMIG investiu R$ 47 milhões em ações voltadas ao meio ambiente. Esses recursos foram subdivididos em investimentos de </w:t>
      </w:r>
      <w:r>
        <w:t>capital, despesas e projetos. A priorização e a alocação desses recursos são definidas pelo Comitê de Adequação Socioambiental, dentro da Estratégia Ambiental da CEMIG (Relatório Anual de Responsabilidade Socioambiental CEMIG D, 2020).</w:t>
      </w:r>
    </w:p>
    <w:p w14:paraId="43C1BCE2" w14:textId="77777777" w:rsidR="00643609" w:rsidRDefault="000651AA" w:rsidP="00AB5F50">
      <w:pPr>
        <w:spacing w:after="0" w:line="360" w:lineRule="auto"/>
        <w:ind w:firstLine="720"/>
        <w:jc w:val="both"/>
      </w:pPr>
      <w:r>
        <w:t>A CEMIG realiza o co</w:t>
      </w:r>
      <w:r>
        <w:t xml:space="preserve">ntrole sustentável da vegetação, minimizando os impactos das redes elétricas sobre a flora e priorizando ações que reduzem os riscos de desligamentos e interrupções de energia (Relatório Anual de </w:t>
      </w:r>
      <w:r>
        <w:lastRenderedPageBreak/>
        <w:t>Responsabilidade Socioambiental CEMIG D, 2020). Para isso, a</w:t>
      </w:r>
      <w:r>
        <w:t xml:space="preserve"> empresa implementou o Processo de Manejo de Vegetação, com o objetivo de reduzir ou eliminar os impactos negativos sobre as formações vegetais, além de potencializar os efeitos positivos do Sistema Elétrico de Potência nas florestas e na biodiversidade da</w:t>
      </w:r>
      <w:r>
        <w:t xml:space="preserve"> área de concessão da companhia (Relatório Anual de Responsabilidade Socioambiental CEMIG D, 2020).</w:t>
      </w:r>
    </w:p>
    <w:p w14:paraId="7A781146" w14:textId="77777777" w:rsidR="00643609" w:rsidRDefault="000651AA" w:rsidP="00AB5F50">
      <w:pPr>
        <w:spacing w:after="0" w:line="360" w:lineRule="auto"/>
        <w:ind w:firstLine="720"/>
        <w:jc w:val="both"/>
      </w:pPr>
      <w:r>
        <w:t>Além disso, a CEMIG vem desenvolvendo ao longo dos anos ações de responsabilidade socioambiental, incluindo programas ambientais e ações de educação ambient</w:t>
      </w:r>
      <w:r>
        <w:t>al para conscientizar a sociedade sobre a importância da preservação do meio ambiente (Relatório Anual de Responsabilidade Socioambiental CEMIG D, 2020). A companhia possui um Sistema de Gestão Ambiental (SGA) que abrange processos de prevenção à poluição,</w:t>
      </w:r>
      <w:r>
        <w:t xml:space="preserve"> bem como ações de comunicação e educação ambiental (Relatório Anual de Responsabilidade Socioambiental CEMIG D, 2021).</w:t>
      </w:r>
    </w:p>
    <w:p w14:paraId="6B3BAF33" w14:textId="77777777" w:rsidR="00643609" w:rsidRDefault="000651AA" w:rsidP="00AB5F50">
      <w:pPr>
        <w:spacing w:after="0" w:line="360" w:lineRule="auto"/>
        <w:ind w:firstLine="720"/>
        <w:jc w:val="both"/>
      </w:pPr>
      <w:r>
        <w:t xml:space="preserve">Entre 2020 e 2022, a CEMIG realizou investimentos voltados à melhoria de seus indicadores ambientais. Esses indicadores medem o tamanho </w:t>
      </w:r>
      <w:r>
        <w:t>das áreas vegetais, a quantidade de resíduos gerados durante a poda das árvores, além de avaliar a eficiência dos equipamentos de prevenção de derramamentos de óleo e outras substâncias (Relatório Anual de Responsabilidade Socioambiental CEMIG D, 2021).</w:t>
      </w:r>
    </w:p>
    <w:p w14:paraId="6BBD32A2" w14:textId="77777777" w:rsidR="00643609" w:rsidRDefault="000651AA" w:rsidP="00AB5F50">
      <w:pPr>
        <w:spacing w:after="0" w:line="360" w:lineRule="auto"/>
        <w:ind w:firstLine="720"/>
        <w:jc w:val="both"/>
      </w:pPr>
      <w:r>
        <w:t>Du</w:t>
      </w:r>
      <w:r>
        <w:t>rante a pandemia de COVID-19, a CEMIG atuou como protagonista no apoio ao transporte de profissionais para levar vacinas a regiões rurais e pessoas acamadas, além de realizar doações de insumos para promover o acesso à vacina nos municípios do Estado de Mi</w:t>
      </w:r>
      <w:r>
        <w:t>nas Gerais (Relatório Anual de Responsabilidade Socioambiental CEMIG D, 2021).</w:t>
      </w:r>
    </w:p>
    <w:p w14:paraId="544C5B79" w14:textId="77777777" w:rsidR="00643609" w:rsidRDefault="000651AA" w:rsidP="00AB5F50">
      <w:pPr>
        <w:spacing w:after="0" w:line="360" w:lineRule="auto"/>
        <w:ind w:firstLine="720"/>
        <w:jc w:val="both"/>
      </w:pPr>
      <w:r>
        <w:t>A sustentabilidade é um dos pilares da missão e dos valores da CEMIG. A companhia vem reportando, desde 2007, suas ações voluntárias em relação às áreas de Mudança Climática e S</w:t>
      </w:r>
      <w:r>
        <w:t>egurança Hídrica. Em 2009, a CEMIG comprometeu-se com os 17 Objetivos de Desenvolvimento Sustentável (ODS) e com o Pacto Empresarial pela Integridade e Contra a Corrupção do Instituto Ethos, com o objetivo de contribuir para um mercado mais ético e íntegro</w:t>
      </w:r>
      <w:r>
        <w:t>, além de reduzir as diversas formas de corrupção (Relatório Anual de Responsabilidade Socioambiental CEMIG D, 2021).</w:t>
      </w:r>
    </w:p>
    <w:p w14:paraId="105E1D15" w14:textId="77777777" w:rsidR="00643609" w:rsidRDefault="000651AA" w:rsidP="00AB5F50">
      <w:pPr>
        <w:spacing w:after="0" w:line="360" w:lineRule="auto"/>
        <w:ind w:firstLine="720"/>
        <w:jc w:val="both"/>
      </w:pPr>
      <w:r>
        <w:lastRenderedPageBreak/>
        <w:t>Em 2020, a CEMIG também aderiu à Aliança pela Ação Climática (ACA-Brasil), assumindo o compromisso voluntário de enfrentar as mudanças cli</w:t>
      </w:r>
      <w:r>
        <w:t>máticas no Brasil (Relatório Anual de Responsabilidade Socioambiental CEMIG D, 2021).</w:t>
      </w:r>
    </w:p>
    <w:p w14:paraId="058E663B" w14:textId="77777777" w:rsidR="00643609" w:rsidRDefault="000651AA" w:rsidP="00AB5F50">
      <w:pPr>
        <w:spacing w:after="0" w:line="360" w:lineRule="auto"/>
        <w:ind w:firstLine="720"/>
        <w:jc w:val="both"/>
      </w:pPr>
      <w:r>
        <w:t>Anualmente, a CEMIG divulga o Relatório de Responsabilidade Socioambiental, que traz dados atualizados sobre o desenvolvimento sustentável da companhia e seus impactos am</w:t>
      </w:r>
      <w:r>
        <w:t>bientais. A seguir, serão apresentados os indicadores ambientais presentes nos Relatórios de Responsabilidade Socioambiental, com uma análise comparativa da evolução desses indicadores entre 2020 e 2023.</w:t>
      </w:r>
    </w:p>
    <w:p w14:paraId="42F4905E" w14:textId="77777777" w:rsidR="00643609" w:rsidRDefault="000651AA" w:rsidP="00AB5F50">
      <w:pPr>
        <w:spacing w:after="0" w:line="360" w:lineRule="auto"/>
        <w:ind w:firstLine="720"/>
        <w:jc w:val="both"/>
      </w:pPr>
      <w:r>
        <w:rPr>
          <w:b/>
        </w:rPr>
        <w:t>4.1. Dimensão Ambiental</w:t>
      </w:r>
    </w:p>
    <w:p w14:paraId="3B53430F" w14:textId="77777777" w:rsidR="00643609" w:rsidRDefault="000651AA" w:rsidP="00AB5F50">
      <w:pPr>
        <w:spacing w:after="0" w:line="360" w:lineRule="auto"/>
        <w:ind w:firstLine="720"/>
        <w:jc w:val="both"/>
      </w:pPr>
      <w:r>
        <w:t>A dimensão ambiental da sust</w:t>
      </w:r>
      <w:r>
        <w:t>entabilidade é acompanhada pela CEMIG. Ela apresenta uma Política Ambiental, divulgada principalmente para a sociedade, no qual se fala sobre a importância das interações e sobre os impactos ambientais. A Política Ambiental tem seis fundamentos: estratégia</w:t>
      </w:r>
      <w:r>
        <w:t>, gestão, atendimento aos requisitos legais, prevenção da poluição, comprometimento com a melhoria contínua e comunicação e educação ambiental, que orientam os processos e o cotidiano de gestão da CEMIG (Relatório Anual de Responsabilidade Socioambiental C</w:t>
      </w:r>
      <w:r>
        <w:t>EMIG D, 2023).</w:t>
      </w:r>
    </w:p>
    <w:p w14:paraId="04407949" w14:textId="77777777" w:rsidR="00643609" w:rsidRDefault="000651AA" w:rsidP="00AB5F50">
      <w:pPr>
        <w:spacing w:after="0" w:line="360" w:lineRule="auto"/>
        <w:ind w:firstLine="720"/>
        <w:jc w:val="both"/>
      </w:pPr>
      <w:r>
        <w:t>A CEMIG tem uma gestão ambiental compactuada com o objetivo da</w:t>
      </w:r>
      <w:r>
        <w:rPr>
          <w:i/>
        </w:rPr>
        <w:t xml:space="preserve"> holding</w:t>
      </w:r>
      <w:r>
        <w:t xml:space="preserve"> através de práticas corporativas no qual pretende diminuir os riscos ambientais, evitar a poluição, seguir as leis e aperfeiçoar o fluxo de informações ambientais (Relató</w:t>
      </w:r>
      <w:r>
        <w:t>rio Anual de Responsabilidade Socioambiental CEMIG D, 2023).</w:t>
      </w:r>
    </w:p>
    <w:p w14:paraId="38798909" w14:textId="77777777" w:rsidR="00643609" w:rsidRDefault="000651AA" w:rsidP="00AB5F50">
      <w:pPr>
        <w:spacing w:after="0" w:line="360" w:lineRule="auto"/>
        <w:ind w:firstLine="720"/>
        <w:jc w:val="both"/>
      </w:pPr>
      <w:r>
        <w:t>A empresa investe milhões em recursos ambientais todos os anos. Esse investimento esta alinhado aos objetivos da entidade, além de cumprir com as despesas relacionadas ao cumprimento de obrigaçõe</w:t>
      </w:r>
      <w:r>
        <w:t>s e melhorias ambientais (Relatório Anual de Responsabilidade Socioambiental CEMIG D, 2023).</w:t>
      </w:r>
    </w:p>
    <w:p w14:paraId="298AFBDB" w14:textId="77777777" w:rsidR="00643609" w:rsidRDefault="000651AA" w:rsidP="00AB5F50">
      <w:pPr>
        <w:spacing w:after="0" w:line="360" w:lineRule="auto"/>
        <w:ind w:firstLine="720"/>
        <w:jc w:val="both"/>
      </w:pPr>
      <w:r>
        <w:t>Em 2020 foram investidos R$ 12,77 milhões em recursos ambientais, maior do que no ano de 2021 com R$ 11,6 milhões. Houve uma redução no investimento o que causa um</w:t>
      </w:r>
      <w:r>
        <w:t xml:space="preserve">a diminuição no desempenho das estratégias feitas pela corporação. No ano de 2022 ocorreu um aumento nos investimentos, foram R$20,86 milhões investidos, causando impacto positivo, pois quanto maior o investimento melhor será o desempenho para realizar as </w:t>
      </w:r>
      <w:r>
        <w:t>demandas e as tarefas da organização. Em 2023 o investimento foi de R$ 27,8 milhões (Relatório Anual de Responsabilidade Socioambiental CEMIG D, 2023).</w:t>
      </w:r>
    </w:p>
    <w:p w14:paraId="53ECD560" w14:textId="77777777" w:rsidR="00643609" w:rsidRDefault="000651AA" w:rsidP="00AB5F50">
      <w:pPr>
        <w:spacing w:after="0" w:line="360" w:lineRule="auto"/>
        <w:ind w:firstLine="720"/>
        <w:jc w:val="both"/>
      </w:pPr>
      <w:r>
        <w:rPr>
          <w:b/>
        </w:rPr>
        <w:lastRenderedPageBreak/>
        <w:t>4.2 Indicadores ambientais</w:t>
      </w:r>
    </w:p>
    <w:p w14:paraId="3FC2B564" w14:textId="77777777" w:rsidR="00643609" w:rsidRDefault="000651AA" w:rsidP="00AB5F50">
      <w:pPr>
        <w:spacing w:after="0" w:line="360" w:lineRule="auto"/>
        <w:ind w:firstLine="720"/>
        <w:jc w:val="both"/>
      </w:pPr>
      <w:r>
        <w:t xml:space="preserve">Os indicadores de desempenho ambiental têm como propósito mensurar o tamanho </w:t>
      </w:r>
      <w:r>
        <w:t>das áreas degradadas que precisam de supressão vegetal. Essas áreas podem ser para construção de subestações ou para abrir a faixa de servidão. Também é feita a estimação de resíduos de poda formados no decorrer da manutenção dos equipamentos no cuidado de</w:t>
      </w:r>
      <w:r>
        <w:t xml:space="preserve"> derramamento de óleo e ações corretivas (Relatório Anual de Responsabilidade Socioambiental CEMIG D, 2023).</w:t>
      </w:r>
    </w:p>
    <w:p w14:paraId="2BB59E49" w14:textId="77777777" w:rsidR="00643609" w:rsidRDefault="000651AA" w:rsidP="00AB5F50">
      <w:pPr>
        <w:spacing w:after="0" w:line="360" w:lineRule="auto"/>
        <w:ind w:firstLine="720"/>
        <w:jc w:val="both"/>
      </w:pPr>
      <w:r>
        <w:t>Conforme a Tabela 1 é possível observar um aumento em todos os indicadores de 2020 a 2023. A Rede Protegida na Área Urbana variou 19,56% de 2020 pa</w:t>
      </w:r>
      <w:r>
        <w:t>ra 2021, um aumento da rede, no qual o meio ambiente é favorecido através da expansão da faixa de servidão e dos resíduos de poda. De 2021 a 2022 foram 1,22%, aumentando gradativamente em % a expansão da área. Contudo, a variação de 2022 para 2023 diminuiu</w:t>
      </w:r>
      <w:r>
        <w:t xml:space="preserve"> 0,54 %. Apesar disso, a recuperação se manteve em desenvolvimento (Relatório Anual de Responsabilidade Socioambiental CEMIG D, 2023).</w:t>
      </w:r>
    </w:p>
    <w:tbl>
      <w:tblPr>
        <w:tblW w:w="0" w:type="auto"/>
        <w:jc w:val="center"/>
        <w:tblLayout w:type="fixed"/>
        <w:tblLook w:val="04A0" w:firstRow="1" w:lastRow="0" w:firstColumn="1" w:lastColumn="0" w:noHBand="0" w:noVBand="1"/>
      </w:tblPr>
      <w:tblGrid>
        <w:gridCol w:w="3628"/>
        <w:gridCol w:w="1361"/>
        <w:gridCol w:w="1361"/>
        <w:gridCol w:w="1361"/>
        <w:gridCol w:w="1361"/>
      </w:tblGrid>
      <w:tr w:rsidR="00643609" w14:paraId="44394840" w14:textId="77777777">
        <w:trPr>
          <w:cantSplit/>
          <w:tblHeader/>
          <w:jc w:val="center"/>
        </w:trPr>
        <w:tc>
          <w:tcPr>
            <w:tcW w:w="9070" w:type="dxa"/>
            <w:gridSpan w:val="5"/>
            <w:tcBorders>
              <w:top w:val="nil"/>
              <w:left w:val="nil"/>
              <w:bottom w:val="nil"/>
              <w:right w:val="nil"/>
            </w:tcBorders>
          </w:tcPr>
          <w:p w14:paraId="71863201" w14:textId="77777777" w:rsidR="00643609" w:rsidRDefault="000651AA">
            <w:pPr>
              <w:keepNext/>
              <w:spacing w:after="120" w:line="240" w:lineRule="auto"/>
            </w:pPr>
            <w:r>
              <w:rPr>
                <w:b/>
                <w:sz w:val="20"/>
              </w:rPr>
              <w:t>Tabela 1: Recuperação por áreas degradadas e desempenho ambiental</w:t>
            </w:r>
          </w:p>
        </w:tc>
      </w:tr>
      <w:tr w:rsidR="00643609" w14:paraId="70376555" w14:textId="77777777">
        <w:trPr>
          <w:cantSplit/>
          <w:tblHeader/>
          <w:jc w:val="center"/>
        </w:trPr>
        <w:tc>
          <w:tcPr>
            <w:tcW w:w="3628" w:type="dxa"/>
            <w:tcBorders>
              <w:top w:val="single" w:sz="6" w:space="0" w:color="000000"/>
              <w:left w:val="nil"/>
              <w:bottom w:val="single" w:sz="6" w:space="0" w:color="000000"/>
              <w:right w:val="nil"/>
            </w:tcBorders>
            <w:shd w:val="clear" w:color="auto" w:fill="E7E6E6"/>
          </w:tcPr>
          <w:p w14:paraId="64958AB3" w14:textId="77777777" w:rsidR="00643609" w:rsidRDefault="000651AA">
            <w:pPr>
              <w:keepNext/>
              <w:spacing w:after="0" w:line="240" w:lineRule="auto"/>
            </w:pPr>
            <w:r>
              <w:rPr>
                <w:b/>
                <w:sz w:val="20"/>
              </w:rPr>
              <w:t>Recuperação de Áreas Degradadas</w:t>
            </w:r>
          </w:p>
        </w:tc>
        <w:tc>
          <w:tcPr>
            <w:tcW w:w="1361" w:type="dxa"/>
            <w:tcBorders>
              <w:top w:val="single" w:sz="6" w:space="0" w:color="000000"/>
              <w:left w:val="nil"/>
              <w:bottom w:val="single" w:sz="6" w:space="0" w:color="000000"/>
              <w:right w:val="nil"/>
            </w:tcBorders>
            <w:shd w:val="clear" w:color="auto" w:fill="E7E6E6"/>
          </w:tcPr>
          <w:p w14:paraId="57F6F1DB" w14:textId="77777777" w:rsidR="00643609" w:rsidRDefault="000651AA">
            <w:pPr>
              <w:keepNext/>
              <w:spacing w:after="0" w:line="240" w:lineRule="auto"/>
              <w:jc w:val="center"/>
            </w:pPr>
            <w:r>
              <w:rPr>
                <w:b/>
                <w:sz w:val="20"/>
              </w:rPr>
              <w:t>2023</w:t>
            </w:r>
          </w:p>
        </w:tc>
        <w:tc>
          <w:tcPr>
            <w:tcW w:w="1361" w:type="dxa"/>
            <w:tcBorders>
              <w:top w:val="single" w:sz="6" w:space="0" w:color="000000"/>
              <w:left w:val="nil"/>
              <w:bottom w:val="single" w:sz="6" w:space="0" w:color="000000"/>
              <w:right w:val="nil"/>
            </w:tcBorders>
            <w:shd w:val="clear" w:color="auto" w:fill="E7E6E6"/>
          </w:tcPr>
          <w:p w14:paraId="37A94FED" w14:textId="77777777" w:rsidR="00643609" w:rsidRDefault="000651AA">
            <w:pPr>
              <w:keepNext/>
              <w:spacing w:after="0" w:line="240" w:lineRule="auto"/>
              <w:jc w:val="center"/>
            </w:pPr>
            <w:r>
              <w:rPr>
                <w:b/>
                <w:sz w:val="20"/>
              </w:rPr>
              <w:t>2022</w:t>
            </w:r>
          </w:p>
        </w:tc>
        <w:tc>
          <w:tcPr>
            <w:tcW w:w="1361" w:type="dxa"/>
            <w:tcBorders>
              <w:top w:val="single" w:sz="6" w:space="0" w:color="000000"/>
              <w:left w:val="nil"/>
              <w:bottom w:val="single" w:sz="6" w:space="0" w:color="000000"/>
              <w:right w:val="nil"/>
            </w:tcBorders>
            <w:shd w:val="clear" w:color="auto" w:fill="E7E6E6"/>
          </w:tcPr>
          <w:p w14:paraId="756C0A1E" w14:textId="77777777" w:rsidR="00643609" w:rsidRDefault="000651AA">
            <w:pPr>
              <w:keepNext/>
              <w:spacing w:after="0" w:line="240" w:lineRule="auto"/>
              <w:jc w:val="center"/>
            </w:pPr>
            <w:r>
              <w:rPr>
                <w:b/>
                <w:sz w:val="20"/>
              </w:rPr>
              <w:t>2021</w:t>
            </w:r>
          </w:p>
        </w:tc>
        <w:tc>
          <w:tcPr>
            <w:tcW w:w="1361" w:type="dxa"/>
            <w:tcBorders>
              <w:top w:val="single" w:sz="6" w:space="0" w:color="000000"/>
              <w:left w:val="nil"/>
              <w:bottom w:val="single" w:sz="6" w:space="0" w:color="000000"/>
              <w:right w:val="nil"/>
            </w:tcBorders>
            <w:shd w:val="clear" w:color="auto" w:fill="E7E6E6"/>
          </w:tcPr>
          <w:p w14:paraId="4CCD04A1" w14:textId="77777777" w:rsidR="00643609" w:rsidRDefault="000651AA">
            <w:pPr>
              <w:keepNext/>
              <w:spacing w:after="0" w:line="240" w:lineRule="auto"/>
              <w:jc w:val="center"/>
            </w:pPr>
            <w:r>
              <w:rPr>
                <w:b/>
                <w:sz w:val="20"/>
              </w:rPr>
              <w:t>2020</w:t>
            </w:r>
          </w:p>
        </w:tc>
      </w:tr>
      <w:tr w:rsidR="00643609" w14:paraId="480CAAA7" w14:textId="77777777">
        <w:trPr>
          <w:cantSplit/>
          <w:jc w:val="center"/>
        </w:trPr>
        <w:tc>
          <w:tcPr>
            <w:tcW w:w="3628" w:type="dxa"/>
            <w:tcBorders>
              <w:left w:val="nil"/>
              <w:right w:val="nil"/>
            </w:tcBorders>
          </w:tcPr>
          <w:p w14:paraId="18376DB6" w14:textId="77777777" w:rsidR="00643609" w:rsidRDefault="000651AA">
            <w:pPr>
              <w:keepNext/>
              <w:spacing w:after="0" w:line="240" w:lineRule="auto"/>
            </w:pPr>
            <w:r>
              <w:rPr>
                <w:sz w:val="20"/>
              </w:rPr>
              <w:t>Rede protegida isolada (rede ecológica ou linha verde) na área urbana (em km)</w:t>
            </w:r>
          </w:p>
        </w:tc>
        <w:tc>
          <w:tcPr>
            <w:tcW w:w="1361" w:type="dxa"/>
            <w:tcBorders>
              <w:left w:val="nil"/>
              <w:right w:val="nil"/>
            </w:tcBorders>
          </w:tcPr>
          <w:p w14:paraId="21788E19" w14:textId="77777777" w:rsidR="00643609" w:rsidRDefault="000651AA">
            <w:pPr>
              <w:keepNext/>
              <w:spacing w:after="0" w:line="240" w:lineRule="auto"/>
              <w:jc w:val="center"/>
            </w:pPr>
            <w:r>
              <w:rPr>
                <w:sz w:val="20"/>
              </w:rPr>
              <w:t>76.398,08</w:t>
            </w:r>
          </w:p>
        </w:tc>
        <w:tc>
          <w:tcPr>
            <w:tcW w:w="1361" w:type="dxa"/>
            <w:tcBorders>
              <w:left w:val="nil"/>
              <w:right w:val="nil"/>
            </w:tcBorders>
          </w:tcPr>
          <w:p w14:paraId="28F02AA7" w14:textId="77777777" w:rsidR="00643609" w:rsidRDefault="000651AA">
            <w:pPr>
              <w:keepNext/>
              <w:spacing w:after="0" w:line="240" w:lineRule="auto"/>
              <w:jc w:val="center"/>
            </w:pPr>
            <w:r>
              <w:rPr>
                <w:sz w:val="20"/>
              </w:rPr>
              <w:t>75.987,86</w:t>
            </w:r>
          </w:p>
        </w:tc>
        <w:tc>
          <w:tcPr>
            <w:tcW w:w="1361" w:type="dxa"/>
            <w:tcBorders>
              <w:left w:val="nil"/>
              <w:right w:val="nil"/>
            </w:tcBorders>
          </w:tcPr>
          <w:p w14:paraId="20A10CC8" w14:textId="77777777" w:rsidR="00643609" w:rsidRDefault="000651AA">
            <w:pPr>
              <w:keepNext/>
              <w:spacing w:after="0" w:line="240" w:lineRule="auto"/>
              <w:jc w:val="center"/>
            </w:pPr>
            <w:r>
              <w:rPr>
                <w:sz w:val="20"/>
              </w:rPr>
              <w:t>75.069,00</w:t>
            </w:r>
          </w:p>
        </w:tc>
        <w:tc>
          <w:tcPr>
            <w:tcW w:w="1361" w:type="dxa"/>
            <w:tcBorders>
              <w:left w:val="nil"/>
              <w:right w:val="nil"/>
            </w:tcBorders>
          </w:tcPr>
          <w:p w14:paraId="5D740C67" w14:textId="77777777" w:rsidR="00643609" w:rsidRDefault="000651AA">
            <w:pPr>
              <w:keepNext/>
              <w:spacing w:after="0" w:line="240" w:lineRule="auto"/>
              <w:jc w:val="center"/>
            </w:pPr>
            <w:r>
              <w:rPr>
                <w:sz w:val="20"/>
              </w:rPr>
              <w:t>62.786,00</w:t>
            </w:r>
          </w:p>
        </w:tc>
      </w:tr>
      <w:tr w:rsidR="00643609" w14:paraId="0C74D6D1" w14:textId="77777777">
        <w:trPr>
          <w:cantSplit/>
          <w:jc w:val="center"/>
        </w:trPr>
        <w:tc>
          <w:tcPr>
            <w:tcW w:w="3628" w:type="dxa"/>
            <w:tcBorders>
              <w:left w:val="nil"/>
              <w:right w:val="nil"/>
            </w:tcBorders>
          </w:tcPr>
          <w:p w14:paraId="28FB9D57" w14:textId="77777777" w:rsidR="00643609" w:rsidRDefault="000651AA">
            <w:pPr>
              <w:keepNext/>
              <w:spacing w:after="0" w:line="240" w:lineRule="auto"/>
            </w:pPr>
            <w:r>
              <w:rPr>
                <w:sz w:val="20"/>
              </w:rPr>
              <w:t>Percentual da rede protegida isolada/total da rede de distribuição na área urbana</w:t>
            </w:r>
          </w:p>
        </w:tc>
        <w:tc>
          <w:tcPr>
            <w:tcW w:w="1361" w:type="dxa"/>
            <w:tcBorders>
              <w:left w:val="nil"/>
              <w:right w:val="nil"/>
            </w:tcBorders>
            <w:shd w:val="clear" w:color="auto" w:fill="FFF2CC"/>
          </w:tcPr>
          <w:p w14:paraId="57CFCFD2" w14:textId="77777777" w:rsidR="00643609" w:rsidRDefault="000651AA">
            <w:pPr>
              <w:keepNext/>
              <w:spacing w:after="0" w:line="240" w:lineRule="auto"/>
              <w:jc w:val="center"/>
            </w:pPr>
            <w:r>
              <w:rPr>
                <w:sz w:val="20"/>
              </w:rPr>
              <w:t>62</w:t>
            </w:r>
          </w:p>
        </w:tc>
        <w:tc>
          <w:tcPr>
            <w:tcW w:w="1361" w:type="dxa"/>
            <w:tcBorders>
              <w:left w:val="nil"/>
              <w:right w:val="nil"/>
            </w:tcBorders>
            <w:shd w:val="clear" w:color="auto" w:fill="FFF2CC"/>
          </w:tcPr>
          <w:p w14:paraId="5A64947D" w14:textId="77777777" w:rsidR="00643609" w:rsidRDefault="000651AA">
            <w:pPr>
              <w:keepNext/>
              <w:spacing w:after="0" w:line="240" w:lineRule="auto"/>
              <w:jc w:val="center"/>
            </w:pPr>
            <w:r>
              <w:rPr>
                <w:sz w:val="20"/>
              </w:rPr>
              <w:t>62</w:t>
            </w:r>
          </w:p>
        </w:tc>
        <w:tc>
          <w:tcPr>
            <w:tcW w:w="1361" w:type="dxa"/>
            <w:tcBorders>
              <w:left w:val="nil"/>
              <w:right w:val="nil"/>
            </w:tcBorders>
          </w:tcPr>
          <w:p w14:paraId="5FA15A26" w14:textId="77777777" w:rsidR="00643609" w:rsidRDefault="000651AA">
            <w:pPr>
              <w:keepNext/>
              <w:spacing w:after="0" w:line="240" w:lineRule="auto"/>
              <w:jc w:val="center"/>
            </w:pPr>
            <w:r>
              <w:rPr>
                <w:sz w:val="20"/>
              </w:rPr>
              <w:t>60,98</w:t>
            </w:r>
          </w:p>
        </w:tc>
        <w:tc>
          <w:tcPr>
            <w:tcW w:w="1361" w:type="dxa"/>
            <w:tcBorders>
              <w:left w:val="nil"/>
              <w:right w:val="nil"/>
            </w:tcBorders>
          </w:tcPr>
          <w:p w14:paraId="4C0C3C5F" w14:textId="77777777" w:rsidR="00643609" w:rsidRDefault="000651AA">
            <w:pPr>
              <w:keepNext/>
              <w:spacing w:after="0" w:line="240" w:lineRule="auto"/>
              <w:jc w:val="center"/>
            </w:pPr>
            <w:r>
              <w:rPr>
                <w:sz w:val="20"/>
              </w:rPr>
              <w:t>56,53</w:t>
            </w:r>
          </w:p>
        </w:tc>
      </w:tr>
      <w:tr w:rsidR="00643609" w14:paraId="24B8FB74" w14:textId="77777777">
        <w:trPr>
          <w:cantSplit/>
          <w:jc w:val="center"/>
        </w:trPr>
        <w:tc>
          <w:tcPr>
            <w:tcW w:w="3628" w:type="dxa"/>
            <w:tcBorders>
              <w:top w:val="single" w:sz="6" w:space="0" w:color="000000"/>
              <w:left w:val="nil"/>
              <w:bottom w:val="single" w:sz="6" w:space="0" w:color="000000"/>
              <w:right w:val="nil"/>
            </w:tcBorders>
            <w:shd w:val="clear" w:color="auto" w:fill="E7E6E6"/>
          </w:tcPr>
          <w:p w14:paraId="7961BC48" w14:textId="77777777" w:rsidR="00643609" w:rsidRDefault="000651AA">
            <w:pPr>
              <w:keepNext/>
              <w:spacing w:after="0" w:line="240" w:lineRule="auto"/>
            </w:pPr>
            <w:r>
              <w:rPr>
                <w:b/>
                <w:sz w:val="20"/>
              </w:rPr>
              <w:t>Desempenho Ambiental</w:t>
            </w:r>
          </w:p>
        </w:tc>
        <w:tc>
          <w:tcPr>
            <w:tcW w:w="1361" w:type="dxa"/>
            <w:tcBorders>
              <w:top w:val="single" w:sz="6" w:space="0" w:color="000000"/>
              <w:left w:val="nil"/>
              <w:bottom w:val="single" w:sz="6" w:space="0" w:color="000000"/>
              <w:right w:val="nil"/>
            </w:tcBorders>
            <w:shd w:val="clear" w:color="auto" w:fill="E7E6E6"/>
          </w:tcPr>
          <w:p w14:paraId="35810460" w14:textId="77777777" w:rsidR="00643609" w:rsidRDefault="000651AA">
            <w:pPr>
              <w:keepNext/>
              <w:spacing w:after="0" w:line="240" w:lineRule="auto"/>
              <w:jc w:val="center"/>
            </w:pPr>
            <w:r>
              <w:rPr>
                <w:b/>
                <w:sz w:val="20"/>
              </w:rPr>
              <w:t>2023</w:t>
            </w:r>
          </w:p>
        </w:tc>
        <w:tc>
          <w:tcPr>
            <w:tcW w:w="1361" w:type="dxa"/>
            <w:tcBorders>
              <w:top w:val="single" w:sz="6" w:space="0" w:color="000000"/>
              <w:left w:val="nil"/>
              <w:bottom w:val="single" w:sz="6" w:space="0" w:color="000000"/>
              <w:right w:val="nil"/>
            </w:tcBorders>
            <w:shd w:val="clear" w:color="auto" w:fill="E7E6E6"/>
          </w:tcPr>
          <w:p w14:paraId="3191B835" w14:textId="77777777" w:rsidR="00643609" w:rsidRDefault="000651AA">
            <w:pPr>
              <w:keepNext/>
              <w:spacing w:after="0" w:line="240" w:lineRule="auto"/>
              <w:jc w:val="center"/>
            </w:pPr>
            <w:r>
              <w:rPr>
                <w:b/>
                <w:sz w:val="20"/>
              </w:rPr>
              <w:t>2022</w:t>
            </w:r>
          </w:p>
        </w:tc>
        <w:tc>
          <w:tcPr>
            <w:tcW w:w="1361" w:type="dxa"/>
            <w:tcBorders>
              <w:top w:val="single" w:sz="6" w:space="0" w:color="000000"/>
              <w:left w:val="nil"/>
              <w:bottom w:val="single" w:sz="6" w:space="0" w:color="000000"/>
              <w:right w:val="nil"/>
            </w:tcBorders>
            <w:shd w:val="clear" w:color="auto" w:fill="E7E6E6"/>
          </w:tcPr>
          <w:p w14:paraId="3E54A138" w14:textId="77777777" w:rsidR="00643609" w:rsidRDefault="000651AA">
            <w:pPr>
              <w:keepNext/>
              <w:spacing w:after="0" w:line="240" w:lineRule="auto"/>
              <w:jc w:val="center"/>
            </w:pPr>
            <w:r>
              <w:rPr>
                <w:b/>
                <w:sz w:val="20"/>
              </w:rPr>
              <w:t>2021</w:t>
            </w:r>
          </w:p>
        </w:tc>
        <w:tc>
          <w:tcPr>
            <w:tcW w:w="1361" w:type="dxa"/>
            <w:tcBorders>
              <w:top w:val="single" w:sz="6" w:space="0" w:color="000000"/>
              <w:left w:val="nil"/>
              <w:bottom w:val="single" w:sz="6" w:space="0" w:color="000000"/>
              <w:right w:val="nil"/>
            </w:tcBorders>
            <w:shd w:val="clear" w:color="auto" w:fill="E7E6E6"/>
          </w:tcPr>
          <w:p w14:paraId="4FB9C4A0" w14:textId="77777777" w:rsidR="00643609" w:rsidRDefault="000651AA">
            <w:pPr>
              <w:keepNext/>
              <w:spacing w:after="0" w:line="240" w:lineRule="auto"/>
              <w:jc w:val="center"/>
            </w:pPr>
            <w:r>
              <w:rPr>
                <w:b/>
                <w:sz w:val="20"/>
              </w:rPr>
              <w:t>2020</w:t>
            </w:r>
          </w:p>
        </w:tc>
      </w:tr>
      <w:tr w:rsidR="00643609" w14:paraId="45272593" w14:textId="77777777">
        <w:trPr>
          <w:cantSplit/>
          <w:jc w:val="center"/>
        </w:trPr>
        <w:tc>
          <w:tcPr>
            <w:tcW w:w="3628" w:type="dxa"/>
            <w:tcBorders>
              <w:left w:val="nil"/>
              <w:right w:val="nil"/>
            </w:tcBorders>
          </w:tcPr>
          <w:p w14:paraId="679355FF" w14:textId="77777777" w:rsidR="00643609" w:rsidRDefault="000651AA">
            <w:pPr>
              <w:keepNext/>
              <w:spacing w:after="0" w:line="240" w:lineRule="auto"/>
            </w:pPr>
            <w:r>
              <w:rPr>
                <w:sz w:val="20"/>
              </w:rPr>
              <w:t>Supressão vegetal e limpeza de faixa (hectare de área suprimida)</w:t>
            </w:r>
          </w:p>
        </w:tc>
        <w:tc>
          <w:tcPr>
            <w:tcW w:w="1361" w:type="dxa"/>
            <w:tcBorders>
              <w:left w:val="nil"/>
              <w:right w:val="nil"/>
            </w:tcBorders>
          </w:tcPr>
          <w:p w14:paraId="1A571512" w14:textId="77777777" w:rsidR="00643609" w:rsidRDefault="000651AA">
            <w:pPr>
              <w:keepNext/>
              <w:spacing w:after="0" w:line="240" w:lineRule="auto"/>
              <w:jc w:val="center"/>
            </w:pPr>
            <w:r>
              <w:rPr>
                <w:sz w:val="20"/>
              </w:rPr>
              <w:t>47.201,95</w:t>
            </w:r>
          </w:p>
        </w:tc>
        <w:tc>
          <w:tcPr>
            <w:tcW w:w="1361" w:type="dxa"/>
            <w:tcBorders>
              <w:left w:val="nil"/>
              <w:right w:val="nil"/>
            </w:tcBorders>
          </w:tcPr>
          <w:p w14:paraId="19D00991" w14:textId="77777777" w:rsidR="00643609" w:rsidRDefault="000651AA">
            <w:pPr>
              <w:keepNext/>
              <w:spacing w:after="0" w:line="240" w:lineRule="auto"/>
              <w:jc w:val="center"/>
            </w:pPr>
            <w:r>
              <w:rPr>
                <w:sz w:val="20"/>
              </w:rPr>
              <w:t>45.430,24</w:t>
            </w:r>
          </w:p>
        </w:tc>
        <w:tc>
          <w:tcPr>
            <w:tcW w:w="1361" w:type="dxa"/>
            <w:tcBorders>
              <w:left w:val="nil"/>
              <w:right w:val="nil"/>
            </w:tcBorders>
          </w:tcPr>
          <w:p w14:paraId="5D0BB1BA" w14:textId="77777777" w:rsidR="00643609" w:rsidRDefault="000651AA">
            <w:pPr>
              <w:keepNext/>
              <w:spacing w:after="0" w:line="240" w:lineRule="auto"/>
              <w:jc w:val="center"/>
            </w:pPr>
            <w:r>
              <w:rPr>
                <w:sz w:val="20"/>
              </w:rPr>
              <w:t>45.000,00</w:t>
            </w:r>
          </w:p>
        </w:tc>
        <w:tc>
          <w:tcPr>
            <w:tcW w:w="1361" w:type="dxa"/>
            <w:tcBorders>
              <w:left w:val="nil"/>
              <w:right w:val="nil"/>
            </w:tcBorders>
          </w:tcPr>
          <w:p w14:paraId="24AE134D" w14:textId="77777777" w:rsidR="00643609" w:rsidRDefault="000651AA">
            <w:pPr>
              <w:keepNext/>
              <w:spacing w:after="0" w:line="240" w:lineRule="auto"/>
              <w:jc w:val="center"/>
            </w:pPr>
            <w:r>
              <w:rPr>
                <w:sz w:val="20"/>
              </w:rPr>
              <w:t>45.000,00</w:t>
            </w:r>
          </w:p>
        </w:tc>
      </w:tr>
      <w:tr w:rsidR="00643609" w14:paraId="727FB3AE" w14:textId="77777777">
        <w:trPr>
          <w:cantSplit/>
          <w:jc w:val="center"/>
        </w:trPr>
        <w:tc>
          <w:tcPr>
            <w:tcW w:w="3628" w:type="dxa"/>
            <w:tcBorders>
              <w:left w:val="nil"/>
              <w:bottom w:val="single" w:sz="6" w:space="0" w:color="000000"/>
              <w:right w:val="nil"/>
            </w:tcBorders>
          </w:tcPr>
          <w:p w14:paraId="09D93F83" w14:textId="77777777" w:rsidR="00643609" w:rsidRDefault="000651AA">
            <w:pPr>
              <w:spacing w:after="0" w:line="240" w:lineRule="auto"/>
            </w:pPr>
            <w:r>
              <w:rPr>
                <w:sz w:val="20"/>
              </w:rPr>
              <w:t>Poda (volume de resíduos gerado em kg)</w:t>
            </w:r>
          </w:p>
        </w:tc>
        <w:tc>
          <w:tcPr>
            <w:tcW w:w="1361" w:type="dxa"/>
            <w:tcBorders>
              <w:left w:val="nil"/>
              <w:bottom w:val="single" w:sz="6" w:space="0" w:color="000000"/>
              <w:right w:val="nil"/>
            </w:tcBorders>
          </w:tcPr>
          <w:p w14:paraId="6E664686" w14:textId="77777777" w:rsidR="00643609" w:rsidRDefault="000651AA">
            <w:pPr>
              <w:spacing w:after="0" w:line="240" w:lineRule="auto"/>
              <w:jc w:val="center"/>
            </w:pPr>
            <w:r>
              <w:rPr>
                <w:sz w:val="20"/>
              </w:rPr>
              <w:t>522.830</w:t>
            </w:r>
          </w:p>
        </w:tc>
        <w:tc>
          <w:tcPr>
            <w:tcW w:w="1361" w:type="dxa"/>
            <w:tcBorders>
              <w:left w:val="nil"/>
              <w:bottom w:val="single" w:sz="6" w:space="0" w:color="000000"/>
              <w:right w:val="nil"/>
            </w:tcBorders>
          </w:tcPr>
          <w:p w14:paraId="64AC7CE3" w14:textId="77777777" w:rsidR="00643609" w:rsidRDefault="000651AA">
            <w:pPr>
              <w:spacing w:after="0" w:line="240" w:lineRule="auto"/>
              <w:jc w:val="center"/>
            </w:pPr>
            <w:r>
              <w:rPr>
                <w:sz w:val="20"/>
              </w:rPr>
              <w:t>465.000</w:t>
            </w:r>
          </w:p>
        </w:tc>
        <w:tc>
          <w:tcPr>
            <w:tcW w:w="1361" w:type="dxa"/>
            <w:tcBorders>
              <w:left w:val="nil"/>
              <w:bottom w:val="single" w:sz="6" w:space="0" w:color="000000"/>
              <w:right w:val="nil"/>
            </w:tcBorders>
          </w:tcPr>
          <w:p w14:paraId="483FF432" w14:textId="77777777" w:rsidR="00643609" w:rsidRDefault="000651AA">
            <w:pPr>
              <w:spacing w:after="0" w:line="240" w:lineRule="auto"/>
              <w:jc w:val="center"/>
            </w:pPr>
            <w:r>
              <w:rPr>
                <w:sz w:val="20"/>
              </w:rPr>
              <w:t>163.723</w:t>
            </w:r>
          </w:p>
        </w:tc>
        <w:tc>
          <w:tcPr>
            <w:tcW w:w="1361" w:type="dxa"/>
            <w:tcBorders>
              <w:left w:val="nil"/>
              <w:bottom w:val="single" w:sz="6" w:space="0" w:color="000000"/>
              <w:right w:val="nil"/>
            </w:tcBorders>
          </w:tcPr>
          <w:p w14:paraId="5887F2F0" w14:textId="77777777" w:rsidR="00643609" w:rsidRDefault="000651AA">
            <w:pPr>
              <w:spacing w:after="0" w:line="240" w:lineRule="auto"/>
              <w:jc w:val="center"/>
            </w:pPr>
            <w:r>
              <w:rPr>
                <w:sz w:val="20"/>
              </w:rPr>
              <w:t>2.500</w:t>
            </w:r>
          </w:p>
        </w:tc>
      </w:tr>
    </w:tbl>
    <w:p w14:paraId="281D19E4" w14:textId="77777777" w:rsidR="00643609" w:rsidRDefault="00643609">
      <w:pPr>
        <w:spacing w:after="0" w:line="240" w:lineRule="auto"/>
      </w:pPr>
    </w:p>
    <w:p w14:paraId="7F770715" w14:textId="77777777" w:rsidR="00643609" w:rsidRDefault="000651AA">
      <w:pPr>
        <w:spacing w:after="240" w:line="240" w:lineRule="auto"/>
      </w:pPr>
      <w:r>
        <w:rPr>
          <w:sz w:val="20"/>
        </w:rPr>
        <w:t xml:space="preserve">Fonte: Relatórios Anuais de Responsabilidade </w:t>
      </w:r>
      <w:r>
        <w:rPr>
          <w:sz w:val="20"/>
        </w:rPr>
        <w:t>Socioambiental (2020; 2023).</w:t>
      </w:r>
    </w:p>
    <w:p w14:paraId="1457A6DE" w14:textId="77777777" w:rsidR="00643609" w:rsidRDefault="000651AA" w:rsidP="00AB5F50">
      <w:pPr>
        <w:spacing w:after="0" w:line="360" w:lineRule="auto"/>
        <w:ind w:firstLine="720"/>
        <w:jc w:val="both"/>
      </w:pPr>
      <w:r>
        <w:t>A Supressão Vegetal e limpeza da faixa de 2020 a 2021 não teve mudanças. Isso devido ao período de pandemia que o mundo enfrentava. Porém, 2021 a 2022 teve um aumento significativo desse indicador de 4,89%. Esse aumento melhora</w:t>
      </w:r>
      <w:r>
        <w:t xml:space="preserve"> o desempenho ambiental da entidade junto ao meio ambiente. A geração de resíduos de poda também ajuda no desempenho ambiental e na eficácia da prevenção do derramamento de óleos e produtos corrosivos. Esse indicador apresentou uma variação positiva ao lon</w:t>
      </w:r>
      <w:r>
        <w:t>go desses anos. Em 2020 eram apenas 2.500kg passando para 163.723kg em 2021, chegando a 522.830kg em 2023 (Relatório Anual de Responsabilidade Socioambiental CEMIG D, 2023).</w:t>
      </w:r>
    </w:p>
    <w:p w14:paraId="01A95E68" w14:textId="77777777" w:rsidR="00643609" w:rsidRDefault="000651AA" w:rsidP="00AB5F50">
      <w:pPr>
        <w:spacing w:after="0" w:line="360" w:lineRule="auto"/>
        <w:ind w:firstLine="720"/>
        <w:jc w:val="both"/>
      </w:pPr>
      <w:r>
        <w:lastRenderedPageBreak/>
        <w:t>Percebe-se que, há um constante e evolutivo investimento, em recuperação por áreas</w:t>
      </w:r>
      <w:r>
        <w:t xml:space="preserve"> degradadas e desempenho ambiental, o que torna a empresa consciente e responsável por ações que reduzem impactos ambientais nesse quesito.</w:t>
      </w:r>
    </w:p>
    <w:p w14:paraId="59976165" w14:textId="77777777" w:rsidR="00643609" w:rsidRDefault="000651AA" w:rsidP="00AB5F50">
      <w:pPr>
        <w:spacing w:after="0" w:line="360" w:lineRule="auto"/>
        <w:ind w:firstLine="720"/>
        <w:jc w:val="both"/>
      </w:pPr>
      <w:r>
        <w:rPr>
          <w:b/>
        </w:rPr>
        <w:t>4.3 Programas ambientais</w:t>
      </w:r>
    </w:p>
    <w:p w14:paraId="1F804094" w14:textId="77777777" w:rsidR="00643609" w:rsidRDefault="000651AA" w:rsidP="00AB5F50">
      <w:pPr>
        <w:spacing w:after="0" w:line="360" w:lineRule="auto"/>
        <w:ind w:firstLine="720"/>
        <w:jc w:val="both"/>
      </w:pPr>
      <w:r>
        <w:t>O programa ambiental da CEMIG tem como objetivo prever, eliminar, mitigar ou reduzir os imp</w:t>
      </w:r>
      <w:r>
        <w:t>actos negativos causados na área ambiental e potencializar os impactos positivos. O manejo da vegetação ocorre em todos os processos tanto da instalação (Relatório Anual de Responsabilidade Socioambiental CEMIG D, 2020).</w:t>
      </w:r>
    </w:p>
    <w:p w14:paraId="163A2763" w14:textId="77777777" w:rsidR="00643609" w:rsidRDefault="000651AA" w:rsidP="00AB5F50">
      <w:pPr>
        <w:spacing w:after="0" w:line="360" w:lineRule="auto"/>
        <w:ind w:firstLine="720"/>
        <w:jc w:val="both"/>
      </w:pPr>
      <w:r>
        <w:t>O Manejo Integrado de Vegetação est</w:t>
      </w:r>
      <w:r>
        <w:t>á em implantação e foca na manutenção de faixas de passagem de linhas de transmissão. Essa modalidade de manejo procura reduzir a remoção de mata local, reconstruir o ambiente com plantas e controlar a vegetação indesejável (Relatório Anual de Responsabili</w:t>
      </w:r>
      <w:r>
        <w:t>dade Socioambiental CEMIG D, 2020).</w:t>
      </w:r>
    </w:p>
    <w:p w14:paraId="5005CE97" w14:textId="77777777" w:rsidR="00643609" w:rsidRDefault="000651AA" w:rsidP="00AB5F50">
      <w:pPr>
        <w:spacing w:after="0" w:line="360" w:lineRule="auto"/>
        <w:ind w:firstLine="720"/>
        <w:jc w:val="both"/>
      </w:pPr>
      <w:r>
        <w:t>A Cemig conta com investimentos em desenvolvimento de métodos de trabalho e ferramentas de planejamento e gestão como forma de melhorar as intervenções e contribuir para a manutenção da qualidade ambiental nas regiões em</w:t>
      </w:r>
      <w:r>
        <w:t xml:space="preserve"> que atua. Busca, a partir da educação, sensibilizar de forma socioambiental os colaboradores e a comunidade local. (Relatório Anual de Responsabilidade Socioambiental CEMIG D, 2023).</w:t>
      </w:r>
    </w:p>
    <w:p w14:paraId="09D35797" w14:textId="4BD813DE" w:rsidR="00AB5F50" w:rsidRDefault="000651AA" w:rsidP="00AB5F50">
      <w:pPr>
        <w:spacing w:after="0" w:line="360" w:lineRule="auto"/>
        <w:ind w:firstLine="720"/>
        <w:jc w:val="both"/>
      </w:pPr>
      <w:r>
        <w:t>A partir da análise da Tabela 2, é evidente que em 2020 não ocorreu a Ed</w:t>
      </w:r>
      <w:r>
        <w:t>ucação Ambiental na comunidade e nem na organização devido à pandemia do COVID-19 iniciada no final do ano de 2019 para 2020. Após o fim da pandemia no ano 2021, esse número sai de 0 pra um resultado melhor em 3,62% de empregados treinados e para 6 o númer</w:t>
      </w:r>
      <w:r>
        <w:t>o de alunos atendidos. Já em 2022 reduz o número de empregados treinados, porém aumenta o número da conscientização da comunidade. Em 2023 o número de alunos atendidos sai de pra 0 o número na comunidade de pessoas conscientizadas, em via de regra a consci</w:t>
      </w:r>
      <w:r>
        <w:t>entização na organização aumentou para 7,52%. (Relatório Anual de Responsabilidade Socioambiental CEMIG D, 2020; 2023).</w:t>
      </w:r>
    </w:p>
    <w:p w14:paraId="3B7F1167" w14:textId="77777777" w:rsidR="00AB5F50" w:rsidRDefault="00AB5F50">
      <w:r>
        <w:br w:type="page"/>
      </w:r>
    </w:p>
    <w:tbl>
      <w:tblPr>
        <w:tblW w:w="0" w:type="auto"/>
        <w:jc w:val="center"/>
        <w:tblLayout w:type="fixed"/>
        <w:tblLook w:val="04A0" w:firstRow="1" w:lastRow="0" w:firstColumn="1" w:lastColumn="0" w:noHBand="0" w:noVBand="1"/>
      </w:tblPr>
      <w:tblGrid>
        <w:gridCol w:w="3628"/>
        <w:gridCol w:w="1361"/>
        <w:gridCol w:w="1361"/>
        <w:gridCol w:w="1361"/>
        <w:gridCol w:w="1361"/>
      </w:tblGrid>
      <w:tr w:rsidR="00643609" w14:paraId="5F6E6092" w14:textId="77777777" w:rsidTr="00AB5F50">
        <w:trPr>
          <w:cantSplit/>
          <w:tblHeader/>
          <w:jc w:val="center"/>
        </w:trPr>
        <w:tc>
          <w:tcPr>
            <w:tcW w:w="9072" w:type="dxa"/>
            <w:gridSpan w:val="5"/>
            <w:tcBorders>
              <w:top w:val="nil"/>
              <w:left w:val="nil"/>
              <w:bottom w:val="nil"/>
              <w:right w:val="nil"/>
            </w:tcBorders>
          </w:tcPr>
          <w:p w14:paraId="0BD40271" w14:textId="77777777" w:rsidR="00643609" w:rsidRDefault="000651AA">
            <w:pPr>
              <w:keepNext/>
              <w:spacing w:after="120" w:line="240" w:lineRule="auto"/>
            </w:pPr>
            <w:r>
              <w:rPr>
                <w:b/>
                <w:sz w:val="20"/>
              </w:rPr>
              <w:lastRenderedPageBreak/>
              <w:t>Tabela 2: Educação e conscientização ambiental na organização e na comunidade</w:t>
            </w:r>
          </w:p>
        </w:tc>
      </w:tr>
      <w:tr w:rsidR="00643609" w14:paraId="454B49C5" w14:textId="77777777">
        <w:trPr>
          <w:cantSplit/>
          <w:tblHeader/>
          <w:jc w:val="center"/>
        </w:trPr>
        <w:tc>
          <w:tcPr>
            <w:tcW w:w="3628" w:type="dxa"/>
            <w:tcBorders>
              <w:top w:val="single" w:sz="6" w:space="0" w:color="000000"/>
              <w:left w:val="nil"/>
              <w:bottom w:val="single" w:sz="6" w:space="0" w:color="000000"/>
              <w:right w:val="nil"/>
            </w:tcBorders>
            <w:shd w:val="clear" w:color="auto" w:fill="E7E6E6"/>
          </w:tcPr>
          <w:p w14:paraId="287BB1BC" w14:textId="77777777" w:rsidR="00643609" w:rsidRDefault="000651AA">
            <w:pPr>
              <w:keepNext/>
              <w:spacing w:after="0" w:line="240" w:lineRule="auto"/>
            </w:pPr>
            <w:r>
              <w:rPr>
                <w:b/>
                <w:sz w:val="20"/>
              </w:rPr>
              <w:t xml:space="preserve">Educação e conscientização ambiental na </w:t>
            </w:r>
            <w:r>
              <w:rPr>
                <w:b/>
                <w:sz w:val="20"/>
              </w:rPr>
              <w:t>organização</w:t>
            </w:r>
          </w:p>
        </w:tc>
        <w:tc>
          <w:tcPr>
            <w:tcW w:w="1361" w:type="dxa"/>
            <w:tcBorders>
              <w:top w:val="single" w:sz="6" w:space="0" w:color="000000"/>
              <w:left w:val="nil"/>
              <w:bottom w:val="single" w:sz="6" w:space="0" w:color="000000"/>
              <w:right w:val="nil"/>
            </w:tcBorders>
            <w:shd w:val="clear" w:color="auto" w:fill="E7E6E6"/>
          </w:tcPr>
          <w:p w14:paraId="2C5E33F8" w14:textId="77777777" w:rsidR="00643609" w:rsidRDefault="000651AA">
            <w:pPr>
              <w:keepNext/>
              <w:spacing w:after="0" w:line="240" w:lineRule="auto"/>
              <w:jc w:val="center"/>
            </w:pPr>
            <w:r>
              <w:rPr>
                <w:b/>
                <w:sz w:val="20"/>
              </w:rPr>
              <w:t>2023</w:t>
            </w:r>
          </w:p>
        </w:tc>
        <w:tc>
          <w:tcPr>
            <w:tcW w:w="1361" w:type="dxa"/>
            <w:tcBorders>
              <w:top w:val="single" w:sz="6" w:space="0" w:color="000000"/>
              <w:left w:val="nil"/>
              <w:bottom w:val="single" w:sz="6" w:space="0" w:color="000000"/>
              <w:right w:val="nil"/>
            </w:tcBorders>
            <w:shd w:val="clear" w:color="auto" w:fill="E7E6E6"/>
          </w:tcPr>
          <w:p w14:paraId="34FC6D30" w14:textId="77777777" w:rsidR="00643609" w:rsidRDefault="000651AA">
            <w:pPr>
              <w:keepNext/>
              <w:spacing w:after="0" w:line="240" w:lineRule="auto"/>
              <w:jc w:val="center"/>
            </w:pPr>
            <w:r>
              <w:rPr>
                <w:b/>
                <w:sz w:val="20"/>
              </w:rPr>
              <w:t>2022</w:t>
            </w:r>
          </w:p>
        </w:tc>
        <w:tc>
          <w:tcPr>
            <w:tcW w:w="1361" w:type="dxa"/>
            <w:tcBorders>
              <w:top w:val="single" w:sz="6" w:space="0" w:color="000000"/>
              <w:left w:val="nil"/>
              <w:bottom w:val="single" w:sz="6" w:space="0" w:color="000000"/>
              <w:right w:val="nil"/>
            </w:tcBorders>
            <w:shd w:val="clear" w:color="auto" w:fill="E7E6E6"/>
          </w:tcPr>
          <w:p w14:paraId="52F597D6" w14:textId="77777777" w:rsidR="00643609" w:rsidRDefault="000651AA">
            <w:pPr>
              <w:keepNext/>
              <w:spacing w:after="0" w:line="240" w:lineRule="auto"/>
              <w:jc w:val="center"/>
            </w:pPr>
            <w:r>
              <w:rPr>
                <w:b/>
                <w:sz w:val="20"/>
              </w:rPr>
              <w:t>2021</w:t>
            </w:r>
          </w:p>
        </w:tc>
        <w:tc>
          <w:tcPr>
            <w:tcW w:w="1361" w:type="dxa"/>
            <w:tcBorders>
              <w:top w:val="single" w:sz="6" w:space="0" w:color="000000"/>
              <w:left w:val="nil"/>
              <w:bottom w:val="single" w:sz="6" w:space="0" w:color="000000"/>
              <w:right w:val="nil"/>
            </w:tcBorders>
            <w:shd w:val="clear" w:color="auto" w:fill="E7E6E6"/>
          </w:tcPr>
          <w:p w14:paraId="32CEDEEF" w14:textId="77777777" w:rsidR="00643609" w:rsidRDefault="000651AA">
            <w:pPr>
              <w:keepNext/>
              <w:spacing w:after="0" w:line="240" w:lineRule="auto"/>
              <w:jc w:val="center"/>
            </w:pPr>
            <w:r>
              <w:rPr>
                <w:b/>
                <w:sz w:val="20"/>
              </w:rPr>
              <w:t>2020</w:t>
            </w:r>
          </w:p>
        </w:tc>
      </w:tr>
      <w:tr w:rsidR="00643609" w14:paraId="49E14AEA" w14:textId="77777777">
        <w:trPr>
          <w:cantSplit/>
          <w:jc w:val="center"/>
        </w:trPr>
        <w:tc>
          <w:tcPr>
            <w:tcW w:w="3628" w:type="dxa"/>
            <w:tcBorders>
              <w:left w:val="nil"/>
              <w:right w:val="nil"/>
            </w:tcBorders>
          </w:tcPr>
          <w:p w14:paraId="7459E753" w14:textId="77777777" w:rsidR="00643609" w:rsidRDefault="000651AA">
            <w:pPr>
              <w:spacing w:after="0" w:line="240" w:lineRule="auto"/>
            </w:pPr>
            <w:r>
              <w:rPr>
                <w:sz w:val="20"/>
              </w:rPr>
              <w:t>Número de empregados treinados nos programas de educação ambiental</w:t>
            </w:r>
          </w:p>
        </w:tc>
        <w:tc>
          <w:tcPr>
            <w:tcW w:w="1361" w:type="dxa"/>
            <w:tcBorders>
              <w:left w:val="nil"/>
              <w:right w:val="nil"/>
            </w:tcBorders>
          </w:tcPr>
          <w:p w14:paraId="380C5669" w14:textId="77777777" w:rsidR="00643609" w:rsidRDefault="000651AA">
            <w:pPr>
              <w:spacing w:after="0" w:line="240" w:lineRule="auto"/>
              <w:jc w:val="center"/>
            </w:pPr>
            <w:r>
              <w:rPr>
                <w:sz w:val="20"/>
              </w:rPr>
              <w:t>279</w:t>
            </w:r>
          </w:p>
        </w:tc>
        <w:tc>
          <w:tcPr>
            <w:tcW w:w="1361" w:type="dxa"/>
            <w:tcBorders>
              <w:left w:val="nil"/>
              <w:right w:val="nil"/>
            </w:tcBorders>
          </w:tcPr>
          <w:p w14:paraId="4C5BCC57" w14:textId="77777777" w:rsidR="00643609" w:rsidRDefault="000651AA">
            <w:pPr>
              <w:spacing w:after="0" w:line="240" w:lineRule="auto"/>
              <w:jc w:val="center"/>
            </w:pPr>
            <w:r>
              <w:rPr>
                <w:sz w:val="20"/>
              </w:rPr>
              <w:t>49</w:t>
            </w:r>
          </w:p>
        </w:tc>
        <w:tc>
          <w:tcPr>
            <w:tcW w:w="1361" w:type="dxa"/>
            <w:tcBorders>
              <w:left w:val="nil"/>
              <w:right w:val="nil"/>
            </w:tcBorders>
          </w:tcPr>
          <w:p w14:paraId="78BB0968" w14:textId="77777777" w:rsidR="00643609" w:rsidRDefault="000651AA">
            <w:pPr>
              <w:spacing w:after="0" w:line="240" w:lineRule="auto"/>
              <w:jc w:val="center"/>
            </w:pPr>
            <w:r>
              <w:rPr>
                <w:sz w:val="20"/>
              </w:rPr>
              <w:t>136</w:t>
            </w:r>
          </w:p>
        </w:tc>
        <w:tc>
          <w:tcPr>
            <w:tcW w:w="1361" w:type="dxa"/>
            <w:tcBorders>
              <w:left w:val="nil"/>
              <w:right w:val="nil"/>
            </w:tcBorders>
          </w:tcPr>
          <w:p w14:paraId="3A64D8E3" w14:textId="77777777" w:rsidR="00643609" w:rsidRDefault="000651AA">
            <w:pPr>
              <w:spacing w:after="0" w:line="240" w:lineRule="auto"/>
              <w:jc w:val="center"/>
            </w:pPr>
            <w:r>
              <w:rPr>
                <w:sz w:val="20"/>
              </w:rPr>
              <w:t>0</w:t>
            </w:r>
          </w:p>
        </w:tc>
      </w:tr>
      <w:tr w:rsidR="00643609" w14:paraId="6327BE89" w14:textId="77777777">
        <w:trPr>
          <w:cantSplit/>
          <w:jc w:val="center"/>
        </w:trPr>
        <w:tc>
          <w:tcPr>
            <w:tcW w:w="3628" w:type="dxa"/>
            <w:tcBorders>
              <w:left w:val="nil"/>
              <w:right w:val="nil"/>
            </w:tcBorders>
          </w:tcPr>
          <w:p w14:paraId="6303D3AA" w14:textId="77777777" w:rsidR="00643609" w:rsidRDefault="000651AA">
            <w:pPr>
              <w:spacing w:after="0" w:line="240" w:lineRule="auto"/>
            </w:pPr>
            <w:r>
              <w:rPr>
                <w:sz w:val="20"/>
              </w:rPr>
              <w:t>Percentual de empregados treinados nos programas de educação ambiental / total de empregados</w:t>
            </w:r>
          </w:p>
        </w:tc>
        <w:tc>
          <w:tcPr>
            <w:tcW w:w="1361" w:type="dxa"/>
            <w:tcBorders>
              <w:left w:val="nil"/>
              <w:right w:val="nil"/>
            </w:tcBorders>
          </w:tcPr>
          <w:p w14:paraId="24DC06BD" w14:textId="77777777" w:rsidR="00643609" w:rsidRDefault="000651AA">
            <w:pPr>
              <w:spacing w:after="0" w:line="240" w:lineRule="auto"/>
              <w:jc w:val="center"/>
            </w:pPr>
            <w:r>
              <w:rPr>
                <w:sz w:val="20"/>
              </w:rPr>
              <w:t>7,52%</w:t>
            </w:r>
          </w:p>
        </w:tc>
        <w:tc>
          <w:tcPr>
            <w:tcW w:w="1361" w:type="dxa"/>
            <w:tcBorders>
              <w:left w:val="nil"/>
              <w:right w:val="nil"/>
            </w:tcBorders>
          </w:tcPr>
          <w:p w14:paraId="27FB3C4E" w14:textId="77777777" w:rsidR="00643609" w:rsidRDefault="000651AA">
            <w:pPr>
              <w:spacing w:after="0" w:line="240" w:lineRule="auto"/>
              <w:jc w:val="center"/>
            </w:pPr>
            <w:r>
              <w:rPr>
                <w:sz w:val="20"/>
              </w:rPr>
              <w:t>1,31%</w:t>
            </w:r>
          </w:p>
        </w:tc>
        <w:tc>
          <w:tcPr>
            <w:tcW w:w="1361" w:type="dxa"/>
            <w:tcBorders>
              <w:left w:val="nil"/>
              <w:right w:val="nil"/>
            </w:tcBorders>
          </w:tcPr>
          <w:p w14:paraId="6C45464A" w14:textId="77777777" w:rsidR="00643609" w:rsidRDefault="000651AA">
            <w:pPr>
              <w:spacing w:after="0" w:line="240" w:lineRule="auto"/>
              <w:jc w:val="center"/>
            </w:pPr>
            <w:r>
              <w:rPr>
                <w:sz w:val="20"/>
              </w:rPr>
              <w:t>3,62%</w:t>
            </w:r>
          </w:p>
        </w:tc>
        <w:tc>
          <w:tcPr>
            <w:tcW w:w="1361" w:type="dxa"/>
            <w:tcBorders>
              <w:left w:val="nil"/>
              <w:right w:val="nil"/>
            </w:tcBorders>
          </w:tcPr>
          <w:p w14:paraId="38A66970" w14:textId="77777777" w:rsidR="00643609" w:rsidRDefault="000651AA">
            <w:pPr>
              <w:spacing w:after="0" w:line="240" w:lineRule="auto"/>
              <w:jc w:val="center"/>
            </w:pPr>
            <w:r>
              <w:rPr>
                <w:sz w:val="20"/>
              </w:rPr>
              <w:t>0</w:t>
            </w:r>
          </w:p>
        </w:tc>
      </w:tr>
      <w:tr w:rsidR="00643609" w14:paraId="383C21E5" w14:textId="77777777">
        <w:trPr>
          <w:cantSplit/>
          <w:jc w:val="center"/>
        </w:trPr>
        <w:tc>
          <w:tcPr>
            <w:tcW w:w="3628" w:type="dxa"/>
            <w:tcBorders>
              <w:left w:val="nil"/>
              <w:right w:val="nil"/>
            </w:tcBorders>
          </w:tcPr>
          <w:p w14:paraId="06C5673D" w14:textId="77777777" w:rsidR="00643609" w:rsidRDefault="000651AA">
            <w:pPr>
              <w:spacing w:after="0" w:line="240" w:lineRule="auto"/>
            </w:pPr>
            <w:r>
              <w:rPr>
                <w:sz w:val="20"/>
              </w:rPr>
              <w:t xml:space="preserve">Número de horas de </w:t>
            </w:r>
            <w:r>
              <w:rPr>
                <w:sz w:val="20"/>
              </w:rPr>
              <w:t>treinamento ambiental / total de horas de treinamento</w:t>
            </w:r>
          </w:p>
        </w:tc>
        <w:tc>
          <w:tcPr>
            <w:tcW w:w="1361" w:type="dxa"/>
            <w:tcBorders>
              <w:left w:val="nil"/>
              <w:right w:val="nil"/>
            </w:tcBorders>
          </w:tcPr>
          <w:p w14:paraId="5E163DFD" w14:textId="77777777" w:rsidR="00643609" w:rsidRDefault="000651AA">
            <w:pPr>
              <w:spacing w:after="0" w:line="240" w:lineRule="auto"/>
              <w:jc w:val="center"/>
            </w:pPr>
            <w:r>
              <w:rPr>
                <w:sz w:val="20"/>
              </w:rPr>
              <w:t>0,3514</w:t>
            </w:r>
          </w:p>
        </w:tc>
        <w:tc>
          <w:tcPr>
            <w:tcW w:w="1361" w:type="dxa"/>
            <w:tcBorders>
              <w:left w:val="nil"/>
              <w:right w:val="nil"/>
            </w:tcBorders>
          </w:tcPr>
          <w:p w14:paraId="165500E8" w14:textId="77777777" w:rsidR="00643609" w:rsidRDefault="000651AA">
            <w:pPr>
              <w:spacing w:after="0" w:line="240" w:lineRule="auto"/>
              <w:jc w:val="center"/>
            </w:pPr>
            <w:r>
              <w:rPr>
                <w:sz w:val="20"/>
              </w:rPr>
              <w:t>0,7401</w:t>
            </w:r>
          </w:p>
        </w:tc>
        <w:tc>
          <w:tcPr>
            <w:tcW w:w="1361" w:type="dxa"/>
            <w:tcBorders>
              <w:left w:val="nil"/>
              <w:right w:val="nil"/>
            </w:tcBorders>
          </w:tcPr>
          <w:p w14:paraId="561090A2" w14:textId="77777777" w:rsidR="00643609" w:rsidRDefault="000651AA">
            <w:pPr>
              <w:spacing w:after="0" w:line="240" w:lineRule="auto"/>
              <w:jc w:val="center"/>
            </w:pPr>
            <w:r>
              <w:rPr>
                <w:sz w:val="20"/>
              </w:rPr>
              <w:t>1,7717</w:t>
            </w:r>
          </w:p>
        </w:tc>
        <w:tc>
          <w:tcPr>
            <w:tcW w:w="1361" w:type="dxa"/>
            <w:tcBorders>
              <w:left w:val="nil"/>
              <w:right w:val="nil"/>
            </w:tcBorders>
          </w:tcPr>
          <w:p w14:paraId="54897436" w14:textId="77777777" w:rsidR="00643609" w:rsidRDefault="000651AA">
            <w:pPr>
              <w:spacing w:after="0" w:line="240" w:lineRule="auto"/>
              <w:jc w:val="center"/>
            </w:pPr>
            <w:r>
              <w:rPr>
                <w:sz w:val="20"/>
              </w:rPr>
              <w:t>0</w:t>
            </w:r>
          </w:p>
        </w:tc>
      </w:tr>
      <w:tr w:rsidR="00643609" w14:paraId="2FAA1A84" w14:textId="77777777">
        <w:trPr>
          <w:cantSplit/>
          <w:jc w:val="center"/>
        </w:trPr>
        <w:tc>
          <w:tcPr>
            <w:tcW w:w="3628" w:type="dxa"/>
            <w:tcBorders>
              <w:top w:val="single" w:sz="6" w:space="0" w:color="000000"/>
              <w:left w:val="nil"/>
              <w:bottom w:val="single" w:sz="6" w:space="0" w:color="000000"/>
              <w:right w:val="nil"/>
            </w:tcBorders>
            <w:shd w:val="clear" w:color="auto" w:fill="E7E6E6"/>
          </w:tcPr>
          <w:p w14:paraId="75ED25B4" w14:textId="77777777" w:rsidR="00643609" w:rsidRDefault="000651AA">
            <w:pPr>
              <w:spacing w:after="0" w:line="240" w:lineRule="auto"/>
            </w:pPr>
            <w:r>
              <w:rPr>
                <w:b/>
                <w:sz w:val="20"/>
              </w:rPr>
              <w:t>Educação e conscientização ambiental na comunidade</w:t>
            </w:r>
          </w:p>
        </w:tc>
        <w:tc>
          <w:tcPr>
            <w:tcW w:w="1361" w:type="dxa"/>
            <w:tcBorders>
              <w:top w:val="single" w:sz="6" w:space="0" w:color="000000"/>
              <w:left w:val="nil"/>
              <w:bottom w:val="single" w:sz="6" w:space="0" w:color="000000"/>
              <w:right w:val="nil"/>
            </w:tcBorders>
            <w:shd w:val="clear" w:color="auto" w:fill="E7E6E6"/>
          </w:tcPr>
          <w:p w14:paraId="25CC7097" w14:textId="77777777" w:rsidR="00643609" w:rsidRDefault="000651AA">
            <w:pPr>
              <w:spacing w:after="0" w:line="240" w:lineRule="auto"/>
              <w:jc w:val="center"/>
            </w:pPr>
            <w:r>
              <w:rPr>
                <w:b/>
                <w:sz w:val="20"/>
              </w:rPr>
              <w:t>2023</w:t>
            </w:r>
          </w:p>
        </w:tc>
        <w:tc>
          <w:tcPr>
            <w:tcW w:w="1361" w:type="dxa"/>
            <w:tcBorders>
              <w:top w:val="single" w:sz="6" w:space="0" w:color="000000"/>
              <w:left w:val="nil"/>
              <w:bottom w:val="single" w:sz="6" w:space="0" w:color="000000"/>
              <w:right w:val="nil"/>
            </w:tcBorders>
            <w:shd w:val="clear" w:color="auto" w:fill="E7E6E6"/>
          </w:tcPr>
          <w:p w14:paraId="2F08109F" w14:textId="77777777" w:rsidR="00643609" w:rsidRDefault="000651AA">
            <w:pPr>
              <w:spacing w:after="0" w:line="240" w:lineRule="auto"/>
              <w:jc w:val="center"/>
            </w:pPr>
            <w:r>
              <w:rPr>
                <w:b/>
                <w:sz w:val="20"/>
              </w:rPr>
              <w:t>2022</w:t>
            </w:r>
          </w:p>
        </w:tc>
        <w:tc>
          <w:tcPr>
            <w:tcW w:w="1361" w:type="dxa"/>
            <w:tcBorders>
              <w:top w:val="single" w:sz="6" w:space="0" w:color="000000"/>
              <w:left w:val="nil"/>
              <w:bottom w:val="single" w:sz="6" w:space="0" w:color="000000"/>
              <w:right w:val="nil"/>
            </w:tcBorders>
            <w:shd w:val="clear" w:color="auto" w:fill="E7E6E6"/>
          </w:tcPr>
          <w:p w14:paraId="63726D57" w14:textId="77777777" w:rsidR="00643609" w:rsidRDefault="000651AA">
            <w:pPr>
              <w:spacing w:after="0" w:line="240" w:lineRule="auto"/>
              <w:jc w:val="center"/>
            </w:pPr>
            <w:r>
              <w:rPr>
                <w:b/>
                <w:sz w:val="20"/>
              </w:rPr>
              <w:t>2021</w:t>
            </w:r>
          </w:p>
        </w:tc>
        <w:tc>
          <w:tcPr>
            <w:tcW w:w="1361" w:type="dxa"/>
            <w:tcBorders>
              <w:top w:val="single" w:sz="6" w:space="0" w:color="000000"/>
              <w:left w:val="nil"/>
              <w:bottom w:val="single" w:sz="6" w:space="0" w:color="000000"/>
              <w:right w:val="nil"/>
            </w:tcBorders>
            <w:shd w:val="clear" w:color="auto" w:fill="E7E6E6"/>
          </w:tcPr>
          <w:p w14:paraId="37D98AAF" w14:textId="77777777" w:rsidR="00643609" w:rsidRDefault="000651AA">
            <w:pPr>
              <w:spacing w:after="0" w:line="240" w:lineRule="auto"/>
              <w:jc w:val="center"/>
            </w:pPr>
            <w:r>
              <w:rPr>
                <w:b/>
                <w:sz w:val="20"/>
              </w:rPr>
              <w:t>2020</w:t>
            </w:r>
          </w:p>
        </w:tc>
      </w:tr>
      <w:tr w:rsidR="00643609" w14:paraId="3CD0E826" w14:textId="77777777">
        <w:trPr>
          <w:cantSplit/>
          <w:jc w:val="center"/>
        </w:trPr>
        <w:tc>
          <w:tcPr>
            <w:tcW w:w="3628" w:type="dxa"/>
            <w:tcBorders>
              <w:left w:val="nil"/>
              <w:right w:val="nil"/>
            </w:tcBorders>
          </w:tcPr>
          <w:p w14:paraId="2BC8039C" w14:textId="77777777" w:rsidR="00643609" w:rsidRDefault="000651AA">
            <w:pPr>
              <w:spacing w:after="0" w:line="240" w:lineRule="auto"/>
            </w:pPr>
            <w:r>
              <w:rPr>
                <w:sz w:val="20"/>
              </w:rPr>
              <w:t>Número de unidades de ensino fundamental e médio atendidas</w:t>
            </w:r>
          </w:p>
        </w:tc>
        <w:tc>
          <w:tcPr>
            <w:tcW w:w="1361" w:type="dxa"/>
            <w:tcBorders>
              <w:left w:val="nil"/>
              <w:right w:val="nil"/>
            </w:tcBorders>
          </w:tcPr>
          <w:p w14:paraId="333F405A" w14:textId="77777777" w:rsidR="00643609" w:rsidRDefault="000651AA">
            <w:pPr>
              <w:spacing w:after="0" w:line="240" w:lineRule="auto"/>
              <w:jc w:val="center"/>
            </w:pPr>
            <w:r>
              <w:rPr>
                <w:sz w:val="20"/>
              </w:rPr>
              <w:t>0</w:t>
            </w:r>
          </w:p>
        </w:tc>
        <w:tc>
          <w:tcPr>
            <w:tcW w:w="1361" w:type="dxa"/>
            <w:tcBorders>
              <w:left w:val="nil"/>
              <w:right w:val="nil"/>
            </w:tcBorders>
          </w:tcPr>
          <w:p w14:paraId="1C949DE1" w14:textId="77777777" w:rsidR="00643609" w:rsidRDefault="000651AA">
            <w:pPr>
              <w:spacing w:after="0" w:line="240" w:lineRule="auto"/>
              <w:jc w:val="center"/>
            </w:pPr>
            <w:r>
              <w:rPr>
                <w:sz w:val="20"/>
              </w:rPr>
              <w:t>28</w:t>
            </w:r>
          </w:p>
        </w:tc>
        <w:tc>
          <w:tcPr>
            <w:tcW w:w="1361" w:type="dxa"/>
            <w:tcBorders>
              <w:left w:val="nil"/>
              <w:right w:val="nil"/>
            </w:tcBorders>
          </w:tcPr>
          <w:p w14:paraId="0C798AC5" w14:textId="77777777" w:rsidR="00643609" w:rsidRDefault="000651AA">
            <w:pPr>
              <w:spacing w:after="0" w:line="240" w:lineRule="auto"/>
              <w:jc w:val="center"/>
            </w:pPr>
            <w:r>
              <w:rPr>
                <w:sz w:val="20"/>
              </w:rPr>
              <w:t>0</w:t>
            </w:r>
          </w:p>
        </w:tc>
        <w:tc>
          <w:tcPr>
            <w:tcW w:w="1361" w:type="dxa"/>
            <w:tcBorders>
              <w:left w:val="nil"/>
              <w:right w:val="nil"/>
            </w:tcBorders>
          </w:tcPr>
          <w:p w14:paraId="2DCD6CBA" w14:textId="77777777" w:rsidR="00643609" w:rsidRDefault="000651AA">
            <w:pPr>
              <w:spacing w:after="0" w:line="240" w:lineRule="auto"/>
              <w:jc w:val="center"/>
            </w:pPr>
            <w:r>
              <w:rPr>
                <w:sz w:val="20"/>
              </w:rPr>
              <w:t>0</w:t>
            </w:r>
          </w:p>
        </w:tc>
      </w:tr>
      <w:tr w:rsidR="00643609" w14:paraId="75D4743C" w14:textId="77777777">
        <w:trPr>
          <w:cantSplit/>
          <w:jc w:val="center"/>
        </w:trPr>
        <w:tc>
          <w:tcPr>
            <w:tcW w:w="3628" w:type="dxa"/>
            <w:tcBorders>
              <w:left w:val="nil"/>
              <w:right w:val="nil"/>
            </w:tcBorders>
          </w:tcPr>
          <w:p w14:paraId="3566C5B5" w14:textId="77777777" w:rsidR="00643609" w:rsidRDefault="000651AA">
            <w:pPr>
              <w:spacing w:after="0" w:line="240" w:lineRule="auto"/>
            </w:pPr>
            <w:r>
              <w:rPr>
                <w:sz w:val="20"/>
              </w:rPr>
              <w:t>Número de alunos atendidos</w:t>
            </w:r>
          </w:p>
        </w:tc>
        <w:tc>
          <w:tcPr>
            <w:tcW w:w="1361" w:type="dxa"/>
            <w:tcBorders>
              <w:left w:val="nil"/>
              <w:right w:val="nil"/>
            </w:tcBorders>
          </w:tcPr>
          <w:p w14:paraId="42BB8AAB" w14:textId="77777777" w:rsidR="00643609" w:rsidRDefault="000651AA">
            <w:pPr>
              <w:spacing w:after="0" w:line="240" w:lineRule="auto"/>
              <w:jc w:val="center"/>
            </w:pPr>
            <w:r>
              <w:rPr>
                <w:sz w:val="20"/>
              </w:rPr>
              <w:t>0</w:t>
            </w:r>
          </w:p>
        </w:tc>
        <w:tc>
          <w:tcPr>
            <w:tcW w:w="1361" w:type="dxa"/>
            <w:tcBorders>
              <w:left w:val="nil"/>
              <w:right w:val="nil"/>
            </w:tcBorders>
          </w:tcPr>
          <w:p w14:paraId="2FC39AC3" w14:textId="77777777" w:rsidR="00643609" w:rsidRDefault="000651AA">
            <w:pPr>
              <w:spacing w:after="0" w:line="240" w:lineRule="auto"/>
              <w:jc w:val="center"/>
            </w:pPr>
            <w:r>
              <w:rPr>
                <w:sz w:val="20"/>
              </w:rPr>
              <w:t>1321</w:t>
            </w:r>
          </w:p>
        </w:tc>
        <w:tc>
          <w:tcPr>
            <w:tcW w:w="1361" w:type="dxa"/>
            <w:tcBorders>
              <w:left w:val="nil"/>
              <w:right w:val="nil"/>
            </w:tcBorders>
          </w:tcPr>
          <w:p w14:paraId="7E15001B" w14:textId="77777777" w:rsidR="00643609" w:rsidRDefault="000651AA">
            <w:pPr>
              <w:spacing w:after="0" w:line="240" w:lineRule="auto"/>
              <w:jc w:val="center"/>
            </w:pPr>
            <w:r>
              <w:rPr>
                <w:sz w:val="20"/>
              </w:rPr>
              <w:t>6</w:t>
            </w:r>
          </w:p>
        </w:tc>
        <w:tc>
          <w:tcPr>
            <w:tcW w:w="1361" w:type="dxa"/>
            <w:tcBorders>
              <w:left w:val="nil"/>
              <w:right w:val="nil"/>
            </w:tcBorders>
          </w:tcPr>
          <w:p w14:paraId="06B200C7" w14:textId="77777777" w:rsidR="00643609" w:rsidRDefault="000651AA">
            <w:pPr>
              <w:spacing w:after="0" w:line="240" w:lineRule="auto"/>
              <w:jc w:val="center"/>
            </w:pPr>
            <w:r>
              <w:rPr>
                <w:sz w:val="20"/>
              </w:rPr>
              <w:t>0</w:t>
            </w:r>
          </w:p>
        </w:tc>
      </w:tr>
      <w:tr w:rsidR="00643609" w14:paraId="57F1D48B" w14:textId="77777777">
        <w:trPr>
          <w:cantSplit/>
          <w:jc w:val="center"/>
        </w:trPr>
        <w:tc>
          <w:tcPr>
            <w:tcW w:w="3628" w:type="dxa"/>
            <w:tcBorders>
              <w:left w:val="nil"/>
              <w:right w:val="nil"/>
            </w:tcBorders>
          </w:tcPr>
          <w:p w14:paraId="727C067F" w14:textId="77777777" w:rsidR="00643609" w:rsidRDefault="000651AA">
            <w:pPr>
              <w:spacing w:after="0" w:line="240" w:lineRule="auto"/>
            </w:pPr>
            <w:r>
              <w:rPr>
                <w:sz w:val="20"/>
              </w:rPr>
              <w:t>Número de professores capacitados</w:t>
            </w:r>
          </w:p>
        </w:tc>
        <w:tc>
          <w:tcPr>
            <w:tcW w:w="1361" w:type="dxa"/>
            <w:tcBorders>
              <w:left w:val="nil"/>
              <w:right w:val="nil"/>
            </w:tcBorders>
          </w:tcPr>
          <w:p w14:paraId="1B123B23" w14:textId="77777777" w:rsidR="00643609" w:rsidRDefault="000651AA">
            <w:pPr>
              <w:spacing w:after="0" w:line="240" w:lineRule="auto"/>
              <w:jc w:val="center"/>
            </w:pPr>
            <w:r>
              <w:rPr>
                <w:sz w:val="20"/>
              </w:rPr>
              <w:t>0</w:t>
            </w:r>
          </w:p>
        </w:tc>
        <w:tc>
          <w:tcPr>
            <w:tcW w:w="1361" w:type="dxa"/>
            <w:tcBorders>
              <w:left w:val="nil"/>
              <w:right w:val="nil"/>
            </w:tcBorders>
          </w:tcPr>
          <w:p w14:paraId="25737114" w14:textId="77777777" w:rsidR="00643609" w:rsidRDefault="000651AA">
            <w:pPr>
              <w:spacing w:after="0" w:line="240" w:lineRule="auto"/>
              <w:jc w:val="center"/>
            </w:pPr>
            <w:r>
              <w:rPr>
                <w:sz w:val="20"/>
              </w:rPr>
              <w:t>136</w:t>
            </w:r>
          </w:p>
        </w:tc>
        <w:tc>
          <w:tcPr>
            <w:tcW w:w="1361" w:type="dxa"/>
            <w:tcBorders>
              <w:left w:val="nil"/>
              <w:right w:val="nil"/>
            </w:tcBorders>
          </w:tcPr>
          <w:p w14:paraId="58C5CB0E" w14:textId="77777777" w:rsidR="00643609" w:rsidRDefault="000651AA">
            <w:pPr>
              <w:spacing w:after="0" w:line="240" w:lineRule="auto"/>
              <w:jc w:val="center"/>
            </w:pPr>
            <w:r>
              <w:rPr>
                <w:sz w:val="20"/>
              </w:rPr>
              <w:t>0</w:t>
            </w:r>
          </w:p>
        </w:tc>
        <w:tc>
          <w:tcPr>
            <w:tcW w:w="1361" w:type="dxa"/>
            <w:tcBorders>
              <w:left w:val="nil"/>
              <w:right w:val="nil"/>
            </w:tcBorders>
          </w:tcPr>
          <w:p w14:paraId="370BBA2B" w14:textId="77777777" w:rsidR="00643609" w:rsidRDefault="000651AA">
            <w:pPr>
              <w:spacing w:after="0" w:line="240" w:lineRule="auto"/>
              <w:jc w:val="center"/>
            </w:pPr>
            <w:r>
              <w:rPr>
                <w:sz w:val="20"/>
              </w:rPr>
              <w:t>0</w:t>
            </w:r>
          </w:p>
        </w:tc>
      </w:tr>
      <w:tr w:rsidR="00643609" w14:paraId="2CA2D6CC" w14:textId="77777777">
        <w:trPr>
          <w:cantSplit/>
          <w:jc w:val="center"/>
        </w:trPr>
        <w:tc>
          <w:tcPr>
            <w:tcW w:w="3628" w:type="dxa"/>
            <w:tcBorders>
              <w:left w:val="nil"/>
              <w:right w:val="nil"/>
            </w:tcBorders>
          </w:tcPr>
          <w:p w14:paraId="7373B8ED" w14:textId="77777777" w:rsidR="00643609" w:rsidRDefault="000651AA">
            <w:pPr>
              <w:spacing w:after="0" w:line="240" w:lineRule="auto"/>
            </w:pPr>
            <w:r>
              <w:rPr>
                <w:sz w:val="20"/>
              </w:rPr>
              <w:t>Número de unidades de ensino técnico e superior atendidas</w:t>
            </w:r>
          </w:p>
        </w:tc>
        <w:tc>
          <w:tcPr>
            <w:tcW w:w="1361" w:type="dxa"/>
            <w:tcBorders>
              <w:left w:val="nil"/>
              <w:right w:val="nil"/>
            </w:tcBorders>
          </w:tcPr>
          <w:p w14:paraId="398A5389" w14:textId="77777777" w:rsidR="00643609" w:rsidRDefault="000651AA">
            <w:pPr>
              <w:spacing w:after="0" w:line="240" w:lineRule="auto"/>
              <w:jc w:val="center"/>
            </w:pPr>
            <w:r>
              <w:rPr>
                <w:sz w:val="20"/>
              </w:rPr>
              <w:t>0</w:t>
            </w:r>
          </w:p>
        </w:tc>
        <w:tc>
          <w:tcPr>
            <w:tcW w:w="1361" w:type="dxa"/>
            <w:tcBorders>
              <w:left w:val="nil"/>
              <w:right w:val="nil"/>
            </w:tcBorders>
          </w:tcPr>
          <w:p w14:paraId="0AB376EE" w14:textId="77777777" w:rsidR="00643609" w:rsidRDefault="000651AA">
            <w:pPr>
              <w:spacing w:after="0" w:line="240" w:lineRule="auto"/>
              <w:jc w:val="center"/>
            </w:pPr>
            <w:r>
              <w:rPr>
                <w:sz w:val="20"/>
              </w:rPr>
              <w:t>2</w:t>
            </w:r>
          </w:p>
        </w:tc>
        <w:tc>
          <w:tcPr>
            <w:tcW w:w="1361" w:type="dxa"/>
            <w:tcBorders>
              <w:left w:val="nil"/>
              <w:right w:val="nil"/>
            </w:tcBorders>
          </w:tcPr>
          <w:p w14:paraId="21E638DE" w14:textId="77777777" w:rsidR="00643609" w:rsidRDefault="000651AA">
            <w:pPr>
              <w:spacing w:after="0" w:line="240" w:lineRule="auto"/>
              <w:jc w:val="center"/>
            </w:pPr>
            <w:r>
              <w:rPr>
                <w:sz w:val="20"/>
              </w:rPr>
              <w:t>0</w:t>
            </w:r>
          </w:p>
        </w:tc>
        <w:tc>
          <w:tcPr>
            <w:tcW w:w="1361" w:type="dxa"/>
            <w:tcBorders>
              <w:left w:val="nil"/>
              <w:right w:val="nil"/>
            </w:tcBorders>
          </w:tcPr>
          <w:p w14:paraId="18205D2A" w14:textId="77777777" w:rsidR="00643609" w:rsidRDefault="000651AA">
            <w:pPr>
              <w:spacing w:after="0" w:line="240" w:lineRule="auto"/>
              <w:jc w:val="center"/>
            </w:pPr>
            <w:r>
              <w:rPr>
                <w:sz w:val="20"/>
              </w:rPr>
              <w:t>0</w:t>
            </w:r>
          </w:p>
        </w:tc>
      </w:tr>
      <w:tr w:rsidR="00643609" w14:paraId="0890C90F" w14:textId="77777777">
        <w:trPr>
          <w:cantSplit/>
          <w:jc w:val="center"/>
        </w:trPr>
        <w:tc>
          <w:tcPr>
            <w:tcW w:w="3628" w:type="dxa"/>
            <w:tcBorders>
              <w:left w:val="nil"/>
              <w:bottom w:val="single" w:sz="6" w:space="0" w:color="000000"/>
              <w:right w:val="nil"/>
            </w:tcBorders>
          </w:tcPr>
          <w:p w14:paraId="7E170EF9" w14:textId="77777777" w:rsidR="00643609" w:rsidRDefault="000651AA">
            <w:pPr>
              <w:spacing w:after="0" w:line="240" w:lineRule="auto"/>
            </w:pPr>
            <w:r>
              <w:rPr>
                <w:sz w:val="20"/>
              </w:rPr>
              <w:t>Número de alunos atendidos (ensino técnico e superior)</w:t>
            </w:r>
          </w:p>
        </w:tc>
        <w:tc>
          <w:tcPr>
            <w:tcW w:w="1361" w:type="dxa"/>
            <w:tcBorders>
              <w:left w:val="nil"/>
              <w:bottom w:val="single" w:sz="6" w:space="0" w:color="000000"/>
              <w:right w:val="nil"/>
            </w:tcBorders>
          </w:tcPr>
          <w:p w14:paraId="55A64F81" w14:textId="77777777" w:rsidR="00643609" w:rsidRDefault="000651AA">
            <w:pPr>
              <w:spacing w:after="0" w:line="240" w:lineRule="auto"/>
              <w:jc w:val="center"/>
            </w:pPr>
            <w:r>
              <w:rPr>
                <w:sz w:val="20"/>
              </w:rPr>
              <w:t>0</w:t>
            </w:r>
          </w:p>
        </w:tc>
        <w:tc>
          <w:tcPr>
            <w:tcW w:w="1361" w:type="dxa"/>
            <w:tcBorders>
              <w:left w:val="nil"/>
              <w:bottom w:val="single" w:sz="6" w:space="0" w:color="000000"/>
              <w:right w:val="nil"/>
            </w:tcBorders>
          </w:tcPr>
          <w:p w14:paraId="6844FB2D" w14:textId="77777777" w:rsidR="00643609" w:rsidRDefault="000651AA">
            <w:pPr>
              <w:spacing w:after="0" w:line="240" w:lineRule="auto"/>
              <w:jc w:val="center"/>
            </w:pPr>
            <w:r>
              <w:rPr>
                <w:sz w:val="20"/>
              </w:rPr>
              <w:t>39</w:t>
            </w:r>
          </w:p>
        </w:tc>
        <w:tc>
          <w:tcPr>
            <w:tcW w:w="1361" w:type="dxa"/>
            <w:tcBorders>
              <w:left w:val="nil"/>
              <w:bottom w:val="single" w:sz="6" w:space="0" w:color="000000"/>
              <w:right w:val="nil"/>
            </w:tcBorders>
          </w:tcPr>
          <w:p w14:paraId="3964DC18" w14:textId="77777777" w:rsidR="00643609" w:rsidRDefault="000651AA">
            <w:pPr>
              <w:spacing w:after="0" w:line="240" w:lineRule="auto"/>
              <w:jc w:val="center"/>
            </w:pPr>
            <w:r>
              <w:rPr>
                <w:sz w:val="20"/>
              </w:rPr>
              <w:t>0</w:t>
            </w:r>
          </w:p>
        </w:tc>
        <w:tc>
          <w:tcPr>
            <w:tcW w:w="1361" w:type="dxa"/>
            <w:tcBorders>
              <w:left w:val="nil"/>
              <w:bottom w:val="single" w:sz="6" w:space="0" w:color="000000"/>
              <w:right w:val="nil"/>
            </w:tcBorders>
          </w:tcPr>
          <w:p w14:paraId="6D5C4A06" w14:textId="77777777" w:rsidR="00643609" w:rsidRDefault="000651AA">
            <w:pPr>
              <w:spacing w:after="0" w:line="240" w:lineRule="auto"/>
              <w:jc w:val="center"/>
            </w:pPr>
            <w:r>
              <w:rPr>
                <w:sz w:val="20"/>
              </w:rPr>
              <w:t>0</w:t>
            </w:r>
          </w:p>
        </w:tc>
      </w:tr>
    </w:tbl>
    <w:p w14:paraId="357E081C" w14:textId="77777777" w:rsidR="00643609" w:rsidRDefault="00643609">
      <w:pPr>
        <w:spacing w:after="0" w:line="240" w:lineRule="auto"/>
      </w:pPr>
    </w:p>
    <w:p w14:paraId="3F09F4D6" w14:textId="77777777" w:rsidR="00643609" w:rsidRDefault="000651AA">
      <w:pPr>
        <w:spacing w:after="240" w:line="240" w:lineRule="auto"/>
      </w:pPr>
      <w:r>
        <w:rPr>
          <w:sz w:val="20"/>
        </w:rPr>
        <w:t xml:space="preserve">Fonte: Relatórios Anuais de Responsabilidade Socioambiental (2020; </w:t>
      </w:r>
      <w:r>
        <w:rPr>
          <w:sz w:val="20"/>
        </w:rPr>
        <w:t>2023).</w:t>
      </w:r>
    </w:p>
    <w:p w14:paraId="7C028756" w14:textId="77777777" w:rsidR="00643609" w:rsidRDefault="000651AA" w:rsidP="00AB5F50">
      <w:pPr>
        <w:spacing w:after="0" w:line="360" w:lineRule="auto"/>
        <w:ind w:firstLine="720"/>
        <w:jc w:val="both"/>
      </w:pPr>
      <w:r>
        <w:t xml:space="preserve">A partir dos indicadores apresentados no Relatório Anual de Sustentabilidade Ambiental sobre a Educação e a Conscientização Ambiental na organização, pode se afirmar que os indicadores variam de um ano pro outro. Não há um alinhamento da </w:t>
      </w:r>
      <w:r>
        <w:t>realização dessas atividades de conscientização entre os colaboradores da CEMIG e da comunidade ao mesmo tempo. Devido à pandemia em 2020, o trabalho de conscientização ambiental na organização e na comunidade parou, o que causou um impacto negativo no asp</w:t>
      </w:r>
      <w:r>
        <w:t>ecto da educação (Relatório Anual de Responsabilidade Socioambiental CEMIG D, 2020).</w:t>
      </w:r>
    </w:p>
    <w:p w14:paraId="080EE708" w14:textId="17B7068B" w:rsidR="00AB5F50" w:rsidRDefault="000651AA" w:rsidP="00AB5F50">
      <w:pPr>
        <w:spacing w:after="0" w:line="360" w:lineRule="auto"/>
        <w:ind w:firstLine="720"/>
        <w:jc w:val="both"/>
      </w:pPr>
      <w:r>
        <w:t>Os indicadores da Educação e conscientização ambiental na empresa e na comunidade são controversos em relação ao número de conscientizados naquele ano. É possível observar</w:t>
      </w:r>
      <w:r>
        <w:t xml:space="preserve"> que em 2022 a comunidade recebeu o esclarecimento sobre a Educação ambiental, sendo que neste mesmo ano a conscientização dos colaboradores foi menor. Contudo, em 2021, 2022, 2023 os colaboradores da CEMIG receberam a Educação Ambiental, subindo o número </w:t>
      </w:r>
      <w:r>
        <w:t>de capacitação dos colaboradores (Relatório Anual de Responsabilidade Socioambiental CEMIG D, 2023).</w:t>
      </w:r>
    </w:p>
    <w:p w14:paraId="6382B303" w14:textId="77777777" w:rsidR="00AB5F50" w:rsidRDefault="00AB5F50">
      <w:r>
        <w:br w:type="page"/>
      </w:r>
    </w:p>
    <w:p w14:paraId="15A93731" w14:textId="77777777" w:rsidR="00643609" w:rsidRDefault="00643609" w:rsidP="00AB5F50">
      <w:pPr>
        <w:spacing w:after="0" w:line="360" w:lineRule="auto"/>
        <w:ind w:firstLine="720"/>
        <w:jc w:val="both"/>
      </w:pPr>
    </w:p>
    <w:p w14:paraId="3EC1C9E4" w14:textId="5B860485" w:rsidR="00643609" w:rsidRDefault="000651AA" w:rsidP="00AB5F50">
      <w:pPr>
        <w:spacing w:after="0" w:line="360" w:lineRule="auto"/>
        <w:ind w:firstLine="720"/>
        <w:jc w:val="both"/>
        <w:rPr>
          <w:b/>
        </w:rPr>
      </w:pPr>
      <w:r>
        <w:rPr>
          <w:b/>
        </w:rPr>
        <w:t>4.4 Consumo de energia</w:t>
      </w:r>
    </w:p>
    <w:p w14:paraId="3F6848AB" w14:textId="77777777" w:rsidR="00AB5F50" w:rsidRDefault="00AB5F50" w:rsidP="00AB5F50">
      <w:pPr>
        <w:spacing w:after="0" w:line="360" w:lineRule="auto"/>
        <w:ind w:firstLine="720"/>
        <w:jc w:val="both"/>
      </w:pPr>
    </w:p>
    <w:p w14:paraId="2B6AFB35" w14:textId="77777777" w:rsidR="00643609" w:rsidRDefault="000651AA" w:rsidP="00AB5F50">
      <w:pPr>
        <w:spacing w:after="0" w:line="360" w:lineRule="auto"/>
        <w:ind w:firstLine="720"/>
        <w:jc w:val="both"/>
      </w:pPr>
      <w:r>
        <w:t>O consumo de energia da CEMIG está ligado ao consumo de energia elétrica nas instalações industriais e escritórios e ao consumo de c</w:t>
      </w:r>
      <w:r>
        <w:t>ombustíveis utilizados em seus veículos (Relatório Anual de Responsabilidade Socioambiental, 2020).</w:t>
      </w:r>
    </w:p>
    <w:tbl>
      <w:tblPr>
        <w:tblW w:w="0" w:type="auto"/>
        <w:jc w:val="center"/>
        <w:tblLayout w:type="fixed"/>
        <w:tblLook w:val="04A0" w:firstRow="1" w:lastRow="0" w:firstColumn="1" w:lastColumn="0" w:noHBand="0" w:noVBand="1"/>
      </w:tblPr>
      <w:tblGrid>
        <w:gridCol w:w="3628"/>
        <w:gridCol w:w="1361"/>
        <w:gridCol w:w="1361"/>
        <w:gridCol w:w="1361"/>
        <w:gridCol w:w="1361"/>
      </w:tblGrid>
      <w:tr w:rsidR="00643609" w14:paraId="5D818E3C" w14:textId="77777777">
        <w:trPr>
          <w:cantSplit/>
          <w:tblHeader/>
          <w:jc w:val="center"/>
        </w:trPr>
        <w:tc>
          <w:tcPr>
            <w:tcW w:w="9070" w:type="dxa"/>
            <w:gridSpan w:val="5"/>
            <w:tcBorders>
              <w:top w:val="nil"/>
              <w:left w:val="nil"/>
              <w:bottom w:val="nil"/>
              <w:right w:val="nil"/>
            </w:tcBorders>
          </w:tcPr>
          <w:p w14:paraId="4233EFC1" w14:textId="77777777" w:rsidR="00643609" w:rsidRDefault="000651AA">
            <w:pPr>
              <w:keepNext/>
              <w:spacing w:after="120" w:line="240" w:lineRule="auto"/>
            </w:pPr>
            <w:r>
              <w:rPr>
                <w:b/>
                <w:sz w:val="20"/>
              </w:rPr>
              <w:t>Tabela 3: Consumo de energia elétrica; consumo de combustíveis; consumo energético</w:t>
            </w:r>
          </w:p>
        </w:tc>
      </w:tr>
      <w:tr w:rsidR="00643609" w14:paraId="3FEDE1FD" w14:textId="77777777">
        <w:trPr>
          <w:cantSplit/>
          <w:tblHeader/>
          <w:jc w:val="center"/>
        </w:trPr>
        <w:tc>
          <w:tcPr>
            <w:tcW w:w="3628" w:type="dxa"/>
            <w:tcBorders>
              <w:top w:val="single" w:sz="6" w:space="0" w:color="000000"/>
              <w:left w:val="nil"/>
              <w:bottom w:val="single" w:sz="6" w:space="0" w:color="000000"/>
              <w:right w:val="nil"/>
            </w:tcBorders>
            <w:shd w:val="clear" w:color="auto" w:fill="E7E6E6"/>
          </w:tcPr>
          <w:p w14:paraId="4E3A8CCE" w14:textId="77777777" w:rsidR="00643609" w:rsidRDefault="000651AA">
            <w:pPr>
              <w:keepNext/>
              <w:spacing w:after="0" w:line="240" w:lineRule="auto"/>
            </w:pPr>
            <w:r>
              <w:rPr>
                <w:b/>
                <w:sz w:val="20"/>
              </w:rPr>
              <w:t>Consumo de energia elétrica</w:t>
            </w:r>
          </w:p>
        </w:tc>
        <w:tc>
          <w:tcPr>
            <w:tcW w:w="1361" w:type="dxa"/>
            <w:tcBorders>
              <w:top w:val="single" w:sz="6" w:space="0" w:color="000000"/>
              <w:left w:val="nil"/>
              <w:bottom w:val="single" w:sz="6" w:space="0" w:color="000000"/>
              <w:right w:val="nil"/>
            </w:tcBorders>
            <w:shd w:val="clear" w:color="auto" w:fill="E7E6E6"/>
          </w:tcPr>
          <w:p w14:paraId="3738A217" w14:textId="77777777" w:rsidR="00643609" w:rsidRDefault="000651AA">
            <w:pPr>
              <w:keepNext/>
              <w:spacing w:after="0" w:line="240" w:lineRule="auto"/>
              <w:jc w:val="center"/>
            </w:pPr>
            <w:r>
              <w:rPr>
                <w:b/>
                <w:sz w:val="20"/>
              </w:rPr>
              <w:t>2023</w:t>
            </w:r>
          </w:p>
        </w:tc>
        <w:tc>
          <w:tcPr>
            <w:tcW w:w="1361" w:type="dxa"/>
            <w:tcBorders>
              <w:top w:val="single" w:sz="6" w:space="0" w:color="000000"/>
              <w:left w:val="nil"/>
              <w:bottom w:val="single" w:sz="6" w:space="0" w:color="000000"/>
              <w:right w:val="nil"/>
            </w:tcBorders>
            <w:shd w:val="clear" w:color="auto" w:fill="E7E6E6"/>
          </w:tcPr>
          <w:p w14:paraId="12AF0B60" w14:textId="77777777" w:rsidR="00643609" w:rsidRDefault="000651AA">
            <w:pPr>
              <w:keepNext/>
              <w:spacing w:after="0" w:line="240" w:lineRule="auto"/>
              <w:jc w:val="center"/>
            </w:pPr>
            <w:r>
              <w:rPr>
                <w:b/>
                <w:sz w:val="20"/>
              </w:rPr>
              <w:t>2022</w:t>
            </w:r>
          </w:p>
        </w:tc>
        <w:tc>
          <w:tcPr>
            <w:tcW w:w="1361" w:type="dxa"/>
            <w:tcBorders>
              <w:top w:val="single" w:sz="6" w:space="0" w:color="000000"/>
              <w:left w:val="nil"/>
              <w:bottom w:val="single" w:sz="6" w:space="0" w:color="000000"/>
              <w:right w:val="nil"/>
            </w:tcBorders>
            <w:shd w:val="clear" w:color="auto" w:fill="E7E6E6"/>
          </w:tcPr>
          <w:p w14:paraId="60540C22" w14:textId="77777777" w:rsidR="00643609" w:rsidRDefault="000651AA">
            <w:pPr>
              <w:keepNext/>
              <w:spacing w:after="0" w:line="240" w:lineRule="auto"/>
              <w:jc w:val="center"/>
            </w:pPr>
            <w:r>
              <w:rPr>
                <w:b/>
                <w:sz w:val="20"/>
              </w:rPr>
              <w:t>2021</w:t>
            </w:r>
          </w:p>
        </w:tc>
        <w:tc>
          <w:tcPr>
            <w:tcW w:w="1361" w:type="dxa"/>
            <w:tcBorders>
              <w:top w:val="single" w:sz="6" w:space="0" w:color="000000"/>
              <w:left w:val="nil"/>
              <w:bottom w:val="single" w:sz="6" w:space="0" w:color="000000"/>
              <w:right w:val="nil"/>
            </w:tcBorders>
            <w:shd w:val="clear" w:color="auto" w:fill="E7E6E6"/>
          </w:tcPr>
          <w:p w14:paraId="13625F47" w14:textId="77777777" w:rsidR="00643609" w:rsidRDefault="000651AA">
            <w:pPr>
              <w:keepNext/>
              <w:spacing w:after="0" w:line="240" w:lineRule="auto"/>
              <w:jc w:val="center"/>
            </w:pPr>
            <w:r>
              <w:rPr>
                <w:b/>
                <w:sz w:val="20"/>
              </w:rPr>
              <w:t>2020</w:t>
            </w:r>
          </w:p>
        </w:tc>
      </w:tr>
      <w:tr w:rsidR="00643609" w14:paraId="1297B8E5" w14:textId="77777777">
        <w:trPr>
          <w:cantSplit/>
          <w:jc w:val="center"/>
        </w:trPr>
        <w:tc>
          <w:tcPr>
            <w:tcW w:w="3628" w:type="dxa"/>
            <w:tcBorders>
              <w:left w:val="nil"/>
              <w:right w:val="nil"/>
            </w:tcBorders>
          </w:tcPr>
          <w:p w14:paraId="24036D6B" w14:textId="77777777" w:rsidR="00643609" w:rsidRDefault="000651AA">
            <w:pPr>
              <w:spacing w:after="0" w:line="240" w:lineRule="auto"/>
            </w:pPr>
            <w:r>
              <w:rPr>
                <w:sz w:val="20"/>
              </w:rPr>
              <w:t xml:space="preserve">Consumo total de </w:t>
            </w:r>
            <w:r>
              <w:rPr>
                <w:sz w:val="20"/>
              </w:rPr>
              <w:t>energia elétrica (MWh)</w:t>
            </w:r>
          </w:p>
        </w:tc>
        <w:tc>
          <w:tcPr>
            <w:tcW w:w="1361" w:type="dxa"/>
            <w:tcBorders>
              <w:left w:val="nil"/>
              <w:right w:val="nil"/>
            </w:tcBorders>
          </w:tcPr>
          <w:p w14:paraId="328978CA" w14:textId="77777777" w:rsidR="00643609" w:rsidRDefault="000651AA">
            <w:pPr>
              <w:spacing w:after="0" w:line="240" w:lineRule="auto"/>
              <w:jc w:val="center"/>
            </w:pPr>
            <w:r>
              <w:rPr>
                <w:sz w:val="20"/>
              </w:rPr>
              <w:t>29.523</w:t>
            </w:r>
          </w:p>
        </w:tc>
        <w:tc>
          <w:tcPr>
            <w:tcW w:w="1361" w:type="dxa"/>
            <w:tcBorders>
              <w:left w:val="nil"/>
              <w:right w:val="nil"/>
            </w:tcBorders>
          </w:tcPr>
          <w:p w14:paraId="5EEBABD5" w14:textId="77777777" w:rsidR="00643609" w:rsidRDefault="000651AA">
            <w:pPr>
              <w:spacing w:after="0" w:line="240" w:lineRule="auto"/>
              <w:jc w:val="center"/>
            </w:pPr>
            <w:r>
              <w:rPr>
                <w:sz w:val="20"/>
              </w:rPr>
              <w:t>35.770</w:t>
            </w:r>
          </w:p>
        </w:tc>
        <w:tc>
          <w:tcPr>
            <w:tcW w:w="1361" w:type="dxa"/>
            <w:tcBorders>
              <w:left w:val="nil"/>
              <w:right w:val="nil"/>
            </w:tcBorders>
          </w:tcPr>
          <w:p w14:paraId="122BEB0A" w14:textId="77777777" w:rsidR="00643609" w:rsidRDefault="000651AA">
            <w:pPr>
              <w:spacing w:after="0" w:line="240" w:lineRule="auto"/>
              <w:jc w:val="center"/>
            </w:pPr>
            <w:r>
              <w:rPr>
                <w:sz w:val="20"/>
              </w:rPr>
              <w:t>33.770</w:t>
            </w:r>
          </w:p>
        </w:tc>
        <w:tc>
          <w:tcPr>
            <w:tcW w:w="1361" w:type="dxa"/>
            <w:tcBorders>
              <w:left w:val="nil"/>
              <w:right w:val="nil"/>
            </w:tcBorders>
            <w:shd w:val="clear" w:color="auto" w:fill="FFF2CC"/>
          </w:tcPr>
          <w:p w14:paraId="39E49E3F" w14:textId="77777777" w:rsidR="00643609" w:rsidRDefault="000651AA">
            <w:pPr>
              <w:spacing w:after="0" w:line="240" w:lineRule="auto"/>
              <w:jc w:val="center"/>
            </w:pPr>
            <w:r>
              <w:rPr>
                <w:sz w:val="20"/>
              </w:rPr>
              <w:t>34.088.902</w:t>
            </w:r>
          </w:p>
        </w:tc>
      </w:tr>
      <w:tr w:rsidR="00643609" w14:paraId="2CB23B3F" w14:textId="77777777">
        <w:trPr>
          <w:cantSplit/>
          <w:jc w:val="center"/>
        </w:trPr>
        <w:tc>
          <w:tcPr>
            <w:tcW w:w="3628" w:type="dxa"/>
            <w:tcBorders>
              <w:left w:val="nil"/>
              <w:right w:val="nil"/>
            </w:tcBorders>
          </w:tcPr>
          <w:p w14:paraId="619CF325" w14:textId="77777777" w:rsidR="00643609" w:rsidRDefault="000651AA">
            <w:pPr>
              <w:spacing w:after="0" w:line="240" w:lineRule="auto"/>
            </w:pPr>
            <w:r>
              <w:rPr>
                <w:sz w:val="20"/>
              </w:rPr>
              <w:t>Consumo total de energia elétrica (GJ)</w:t>
            </w:r>
          </w:p>
        </w:tc>
        <w:tc>
          <w:tcPr>
            <w:tcW w:w="1361" w:type="dxa"/>
            <w:tcBorders>
              <w:left w:val="nil"/>
              <w:right w:val="nil"/>
            </w:tcBorders>
          </w:tcPr>
          <w:p w14:paraId="5D28B6FE" w14:textId="77777777" w:rsidR="00643609" w:rsidRDefault="000651AA">
            <w:pPr>
              <w:spacing w:after="0" w:line="240" w:lineRule="auto"/>
              <w:jc w:val="center"/>
            </w:pPr>
            <w:r>
              <w:rPr>
                <w:sz w:val="20"/>
              </w:rPr>
              <w:t>106.282</w:t>
            </w:r>
          </w:p>
        </w:tc>
        <w:tc>
          <w:tcPr>
            <w:tcW w:w="1361" w:type="dxa"/>
            <w:tcBorders>
              <w:left w:val="nil"/>
              <w:right w:val="nil"/>
            </w:tcBorders>
          </w:tcPr>
          <w:p w14:paraId="7E012555" w14:textId="77777777" w:rsidR="00643609" w:rsidRDefault="000651AA">
            <w:pPr>
              <w:spacing w:after="0" w:line="240" w:lineRule="auto"/>
              <w:jc w:val="center"/>
            </w:pPr>
            <w:r>
              <w:rPr>
                <w:sz w:val="20"/>
              </w:rPr>
              <w:t>128.722</w:t>
            </w:r>
          </w:p>
        </w:tc>
        <w:tc>
          <w:tcPr>
            <w:tcW w:w="1361" w:type="dxa"/>
            <w:tcBorders>
              <w:left w:val="nil"/>
              <w:right w:val="nil"/>
            </w:tcBorders>
          </w:tcPr>
          <w:p w14:paraId="0D021FC6" w14:textId="77777777" w:rsidR="00643609" w:rsidRDefault="000651AA">
            <w:pPr>
              <w:spacing w:after="0" w:line="240" w:lineRule="auto"/>
              <w:jc w:val="center"/>
            </w:pPr>
            <w:r>
              <w:rPr>
                <w:sz w:val="20"/>
              </w:rPr>
              <w:t>119.041</w:t>
            </w:r>
          </w:p>
        </w:tc>
        <w:tc>
          <w:tcPr>
            <w:tcW w:w="1361" w:type="dxa"/>
            <w:tcBorders>
              <w:left w:val="nil"/>
              <w:right w:val="nil"/>
            </w:tcBorders>
          </w:tcPr>
          <w:p w14:paraId="2589A601" w14:textId="77777777" w:rsidR="00643609" w:rsidRDefault="000651AA">
            <w:pPr>
              <w:spacing w:after="0" w:line="240" w:lineRule="auto"/>
              <w:jc w:val="center"/>
            </w:pPr>
            <w:r>
              <w:rPr>
                <w:sz w:val="20"/>
              </w:rPr>
              <w:t>122.717</w:t>
            </w:r>
          </w:p>
        </w:tc>
      </w:tr>
      <w:tr w:rsidR="00643609" w14:paraId="448F6E23" w14:textId="77777777">
        <w:trPr>
          <w:cantSplit/>
          <w:jc w:val="center"/>
        </w:trPr>
        <w:tc>
          <w:tcPr>
            <w:tcW w:w="3628" w:type="dxa"/>
            <w:tcBorders>
              <w:top w:val="single" w:sz="6" w:space="0" w:color="000000"/>
              <w:left w:val="nil"/>
              <w:bottom w:val="single" w:sz="6" w:space="0" w:color="000000"/>
              <w:right w:val="nil"/>
            </w:tcBorders>
            <w:shd w:val="clear" w:color="auto" w:fill="E7E6E6"/>
          </w:tcPr>
          <w:p w14:paraId="4C97B348" w14:textId="77777777" w:rsidR="00643609" w:rsidRDefault="000651AA">
            <w:pPr>
              <w:spacing w:after="0" w:line="240" w:lineRule="auto"/>
            </w:pPr>
            <w:r>
              <w:rPr>
                <w:b/>
                <w:sz w:val="20"/>
              </w:rPr>
              <w:t>Consumo de combustíveis</w:t>
            </w:r>
          </w:p>
        </w:tc>
        <w:tc>
          <w:tcPr>
            <w:tcW w:w="1361" w:type="dxa"/>
            <w:tcBorders>
              <w:top w:val="single" w:sz="6" w:space="0" w:color="000000"/>
              <w:left w:val="nil"/>
              <w:bottom w:val="single" w:sz="6" w:space="0" w:color="000000"/>
              <w:right w:val="nil"/>
            </w:tcBorders>
            <w:shd w:val="clear" w:color="auto" w:fill="E7E6E6"/>
          </w:tcPr>
          <w:p w14:paraId="72C5B15D" w14:textId="77777777" w:rsidR="00643609" w:rsidRDefault="000651AA">
            <w:pPr>
              <w:spacing w:after="0" w:line="240" w:lineRule="auto"/>
              <w:jc w:val="center"/>
            </w:pPr>
            <w:r>
              <w:rPr>
                <w:b/>
                <w:sz w:val="20"/>
              </w:rPr>
              <w:t>2023</w:t>
            </w:r>
          </w:p>
        </w:tc>
        <w:tc>
          <w:tcPr>
            <w:tcW w:w="1361" w:type="dxa"/>
            <w:tcBorders>
              <w:top w:val="single" w:sz="6" w:space="0" w:color="000000"/>
              <w:left w:val="nil"/>
              <w:bottom w:val="single" w:sz="6" w:space="0" w:color="000000"/>
              <w:right w:val="nil"/>
            </w:tcBorders>
            <w:shd w:val="clear" w:color="auto" w:fill="E7E6E6"/>
          </w:tcPr>
          <w:p w14:paraId="25321F51" w14:textId="77777777" w:rsidR="00643609" w:rsidRDefault="000651AA">
            <w:pPr>
              <w:spacing w:after="0" w:line="240" w:lineRule="auto"/>
              <w:jc w:val="center"/>
            </w:pPr>
            <w:r>
              <w:rPr>
                <w:b/>
                <w:sz w:val="20"/>
              </w:rPr>
              <w:t>2022</w:t>
            </w:r>
          </w:p>
        </w:tc>
        <w:tc>
          <w:tcPr>
            <w:tcW w:w="1361" w:type="dxa"/>
            <w:tcBorders>
              <w:top w:val="single" w:sz="6" w:space="0" w:color="000000"/>
              <w:left w:val="nil"/>
              <w:bottom w:val="single" w:sz="6" w:space="0" w:color="000000"/>
              <w:right w:val="nil"/>
            </w:tcBorders>
            <w:shd w:val="clear" w:color="auto" w:fill="E7E6E6"/>
          </w:tcPr>
          <w:p w14:paraId="0EE83AE0" w14:textId="77777777" w:rsidR="00643609" w:rsidRDefault="000651AA">
            <w:pPr>
              <w:spacing w:after="0" w:line="240" w:lineRule="auto"/>
              <w:jc w:val="center"/>
            </w:pPr>
            <w:r>
              <w:rPr>
                <w:b/>
                <w:sz w:val="20"/>
              </w:rPr>
              <w:t>2021</w:t>
            </w:r>
          </w:p>
        </w:tc>
        <w:tc>
          <w:tcPr>
            <w:tcW w:w="1361" w:type="dxa"/>
            <w:tcBorders>
              <w:top w:val="single" w:sz="6" w:space="0" w:color="000000"/>
              <w:left w:val="nil"/>
              <w:bottom w:val="single" w:sz="6" w:space="0" w:color="000000"/>
              <w:right w:val="nil"/>
            </w:tcBorders>
            <w:shd w:val="clear" w:color="auto" w:fill="E7E6E6"/>
          </w:tcPr>
          <w:p w14:paraId="7E274BAF" w14:textId="77777777" w:rsidR="00643609" w:rsidRDefault="000651AA">
            <w:pPr>
              <w:spacing w:after="0" w:line="240" w:lineRule="auto"/>
              <w:jc w:val="center"/>
            </w:pPr>
            <w:r>
              <w:rPr>
                <w:b/>
                <w:sz w:val="20"/>
              </w:rPr>
              <w:t>2020</w:t>
            </w:r>
          </w:p>
        </w:tc>
      </w:tr>
      <w:tr w:rsidR="00643609" w14:paraId="34849A8B" w14:textId="77777777">
        <w:trPr>
          <w:cantSplit/>
          <w:jc w:val="center"/>
        </w:trPr>
        <w:tc>
          <w:tcPr>
            <w:tcW w:w="3628" w:type="dxa"/>
            <w:tcBorders>
              <w:left w:val="nil"/>
              <w:right w:val="nil"/>
            </w:tcBorders>
          </w:tcPr>
          <w:p w14:paraId="4D810E67" w14:textId="77777777" w:rsidR="00643609" w:rsidRDefault="000651AA">
            <w:pPr>
              <w:spacing w:after="0" w:line="240" w:lineRule="auto"/>
            </w:pPr>
            <w:r>
              <w:rPr>
                <w:sz w:val="20"/>
              </w:rPr>
              <w:t>Diesel (litros)</w:t>
            </w:r>
          </w:p>
        </w:tc>
        <w:tc>
          <w:tcPr>
            <w:tcW w:w="1361" w:type="dxa"/>
            <w:tcBorders>
              <w:left w:val="nil"/>
              <w:right w:val="nil"/>
            </w:tcBorders>
          </w:tcPr>
          <w:p w14:paraId="6B126F84" w14:textId="77777777" w:rsidR="00643609" w:rsidRDefault="000651AA">
            <w:pPr>
              <w:spacing w:after="0" w:line="240" w:lineRule="auto"/>
              <w:jc w:val="center"/>
            </w:pPr>
            <w:r>
              <w:rPr>
                <w:sz w:val="20"/>
              </w:rPr>
              <w:t>2.434.855</w:t>
            </w:r>
          </w:p>
        </w:tc>
        <w:tc>
          <w:tcPr>
            <w:tcW w:w="1361" w:type="dxa"/>
            <w:tcBorders>
              <w:left w:val="nil"/>
              <w:right w:val="nil"/>
            </w:tcBorders>
          </w:tcPr>
          <w:p w14:paraId="3D4CFC96" w14:textId="77777777" w:rsidR="00643609" w:rsidRDefault="000651AA">
            <w:pPr>
              <w:spacing w:after="0" w:line="240" w:lineRule="auto"/>
              <w:jc w:val="center"/>
            </w:pPr>
            <w:r>
              <w:rPr>
                <w:sz w:val="20"/>
              </w:rPr>
              <w:t>2.137.460</w:t>
            </w:r>
          </w:p>
        </w:tc>
        <w:tc>
          <w:tcPr>
            <w:tcW w:w="1361" w:type="dxa"/>
            <w:tcBorders>
              <w:left w:val="nil"/>
              <w:right w:val="nil"/>
            </w:tcBorders>
          </w:tcPr>
          <w:p w14:paraId="4D82D40B" w14:textId="77777777" w:rsidR="00643609" w:rsidRDefault="000651AA">
            <w:pPr>
              <w:spacing w:after="0" w:line="240" w:lineRule="auto"/>
              <w:jc w:val="center"/>
            </w:pPr>
            <w:r>
              <w:rPr>
                <w:sz w:val="20"/>
              </w:rPr>
              <w:t>2.247.475</w:t>
            </w:r>
          </w:p>
        </w:tc>
        <w:tc>
          <w:tcPr>
            <w:tcW w:w="1361" w:type="dxa"/>
            <w:tcBorders>
              <w:left w:val="nil"/>
              <w:right w:val="nil"/>
            </w:tcBorders>
          </w:tcPr>
          <w:p w14:paraId="2F0D83C3" w14:textId="77777777" w:rsidR="00643609" w:rsidRDefault="000651AA">
            <w:pPr>
              <w:spacing w:after="0" w:line="240" w:lineRule="auto"/>
              <w:jc w:val="center"/>
            </w:pPr>
            <w:r>
              <w:rPr>
                <w:sz w:val="20"/>
              </w:rPr>
              <w:t>2.828.811</w:t>
            </w:r>
          </w:p>
        </w:tc>
      </w:tr>
      <w:tr w:rsidR="00643609" w14:paraId="24382ED3" w14:textId="77777777">
        <w:trPr>
          <w:cantSplit/>
          <w:jc w:val="center"/>
        </w:trPr>
        <w:tc>
          <w:tcPr>
            <w:tcW w:w="3628" w:type="dxa"/>
            <w:tcBorders>
              <w:left w:val="nil"/>
              <w:right w:val="nil"/>
            </w:tcBorders>
          </w:tcPr>
          <w:p w14:paraId="5E29A401" w14:textId="77777777" w:rsidR="00643609" w:rsidRDefault="000651AA">
            <w:pPr>
              <w:spacing w:after="0" w:line="240" w:lineRule="auto"/>
            </w:pPr>
            <w:r>
              <w:rPr>
                <w:sz w:val="20"/>
              </w:rPr>
              <w:t>Gasolina (litros)</w:t>
            </w:r>
          </w:p>
        </w:tc>
        <w:tc>
          <w:tcPr>
            <w:tcW w:w="1361" w:type="dxa"/>
            <w:tcBorders>
              <w:left w:val="nil"/>
              <w:right w:val="nil"/>
            </w:tcBorders>
          </w:tcPr>
          <w:p w14:paraId="7E85AE93" w14:textId="77777777" w:rsidR="00643609" w:rsidRDefault="000651AA">
            <w:pPr>
              <w:spacing w:after="0" w:line="240" w:lineRule="auto"/>
              <w:jc w:val="center"/>
            </w:pPr>
            <w:r>
              <w:rPr>
                <w:sz w:val="20"/>
              </w:rPr>
              <w:t>430.391</w:t>
            </w:r>
          </w:p>
        </w:tc>
        <w:tc>
          <w:tcPr>
            <w:tcW w:w="1361" w:type="dxa"/>
            <w:tcBorders>
              <w:left w:val="nil"/>
              <w:right w:val="nil"/>
            </w:tcBorders>
          </w:tcPr>
          <w:p w14:paraId="6987330A" w14:textId="77777777" w:rsidR="00643609" w:rsidRDefault="000651AA">
            <w:pPr>
              <w:spacing w:after="0" w:line="240" w:lineRule="auto"/>
              <w:jc w:val="center"/>
            </w:pPr>
            <w:r>
              <w:rPr>
                <w:sz w:val="20"/>
              </w:rPr>
              <w:t>455.143</w:t>
            </w:r>
          </w:p>
        </w:tc>
        <w:tc>
          <w:tcPr>
            <w:tcW w:w="1361" w:type="dxa"/>
            <w:tcBorders>
              <w:left w:val="nil"/>
              <w:right w:val="nil"/>
            </w:tcBorders>
          </w:tcPr>
          <w:p w14:paraId="02BDE75F" w14:textId="77777777" w:rsidR="00643609" w:rsidRDefault="000651AA">
            <w:pPr>
              <w:spacing w:after="0" w:line="240" w:lineRule="auto"/>
              <w:jc w:val="center"/>
            </w:pPr>
            <w:r>
              <w:rPr>
                <w:sz w:val="20"/>
              </w:rPr>
              <w:t>420.356</w:t>
            </w:r>
          </w:p>
        </w:tc>
        <w:tc>
          <w:tcPr>
            <w:tcW w:w="1361" w:type="dxa"/>
            <w:tcBorders>
              <w:left w:val="nil"/>
              <w:right w:val="nil"/>
            </w:tcBorders>
          </w:tcPr>
          <w:p w14:paraId="4A61C7BB" w14:textId="77777777" w:rsidR="00643609" w:rsidRDefault="000651AA">
            <w:pPr>
              <w:spacing w:after="0" w:line="240" w:lineRule="auto"/>
              <w:jc w:val="center"/>
            </w:pPr>
            <w:r>
              <w:rPr>
                <w:sz w:val="20"/>
              </w:rPr>
              <w:t>385.331</w:t>
            </w:r>
          </w:p>
        </w:tc>
      </w:tr>
      <w:tr w:rsidR="00643609" w14:paraId="21F0DA47" w14:textId="77777777">
        <w:trPr>
          <w:cantSplit/>
          <w:jc w:val="center"/>
        </w:trPr>
        <w:tc>
          <w:tcPr>
            <w:tcW w:w="3628" w:type="dxa"/>
            <w:tcBorders>
              <w:left w:val="nil"/>
              <w:right w:val="nil"/>
            </w:tcBorders>
          </w:tcPr>
          <w:p w14:paraId="1A690FA0" w14:textId="77777777" w:rsidR="00643609" w:rsidRDefault="000651AA">
            <w:pPr>
              <w:spacing w:after="0" w:line="240" w:lineRule="auto"/>
            </w:pPr>
            <w:r>
              <w:rPr>
                <w:sz w:val="20"/>
              </w:rPr>
              <w:t>Etanol (litros)</w:t>
            </w:r>
          </w:p>
        </w:tc>
        <w:tc>
          <w:tcPr>
            <w:tcW w:w="1361" w:type="dxa"/>
            <w:tcBorders>
              <w:left w:val="nil"/>
              <w:right w:val="nil"/>
            </w:tcBorders>
          </w:tcPr>
          <w:p w14:paraId="4B891EBA" w14:textId="77777777" w:rsidR="00643609" w:rsidRDefault="000651AA">
            <w:pPr>
              <w:spacing w:after="0" w:line="240" w:lineRule="auto"/>
              <w:jc w:val="center"/>
            </w:pPr>
            <w:r>
              <w:rPr>
                <w:sz w:val="20"/>
              </w:rPr>
              <w:t>54.367</w:t>
            </w:r>
          </w:p>
        </w:tc>
        <w:tc>
          <w:tcPr>
            <w:tcW w:w="1361" w:type="dxa"/>
            <w:tcBorders>
              <w:left w:val="nil"/>
              <w:right w:val="nil"/>
            </w:tcBorders>
          </w:tcPr>
          <w:p w14:paraId="666CA8D9" w14:textId="77777777" w:rsidR="00643609" w:rsidRDefault="000651AA">
            <w:pPr>
              <w:spacing w:after="0" w:line="240" w:lineRule="auto"/>
              <w:jc w:val="center"/>
            </w:pPr>
            <w:r>
              <w:rPr>
                <w:sz w:val="20"/>
              </w:rPr>
              <w:t>37.741</w:t>
            </w:r>
          </w:p>
        </w:tc>
        <w:tc>
          <w:tcPr>
            <w:tcW w:w="1361" w:type="dxa"/>
            <w:tcBorders>
              <w:left w:val="nil"/>
              <w:right w:val="nil"/>
            </w:tcBorders>
          </w:tcPr>
          <w:p w14:paraId="71968085" w14:textId="77777777" w:rsidR="00643609" w:rsidRDefault="000651AA">
            <w:pPr>
              <w:spacing w:after="0" w:line="240" w:lineRule="auto"/>
              <w:jc w:val="center"/>
            </w:pPr>
            <w:r>
              <w:rPr>
                <w:sz w:val="20"/>
              </w:rPr>
              <w:t>95.200</w:t>
            </w:r>
          </w:p>
        </w:tc>
        <w:tc>
          <w:tcPr>
            <w:tcW w:w="1361" w:type="dxa"/>
            <w:tcBorders>
              <w:left w:val="nil"/>
              <w:right w:val="nil"/>
            </w:tcBorders>
          </w:tcPr>
          <w:p w14:paraId="35CD598A" w14:textId="77777777" w:rsidR="00643609" w:rsidRDefault="000651AA">
            <w:pPr>
              <w:spacing w:after="0" w:line="240" w:lineRule="auto"/>
              <w:jc w:val="center"/>
            </w:pPr>
            <w:r>
              <w:rPr>
                <w:sz w:val="20"/>
              </w:rPr>
              <w:t>171.372</w:t>
            </w:r>
          </w:p>
        </w:tc>
      </w:tr>
      <w:tr w:rsidR="00643609" w14:paraId="1A54FE02" w14:textId="77777777">
        <w:trPr>
          <w:cantSplit/>
          <w:jc w:val="center"/>
        </w:trPr>
        <w:tc>
          <w:tcPr>
            <w:tcW w:w="3628" w:type="dxa"/>
            <w:tcBorders>
              <w:left w:val="nil"/>
              <w:right w:val="nil"/>
            </w:tcBorders>
          </w:tcPr>
          <w:p w14:paraId="2FF292C9" w14:textId="77777777" w:rsidR="00643609" w:rsidRDefault="000651AA">
            <w:pPr>
              <w:spacing w:after="0" w:line="240" w:lineRule="auto"/>
            </w:pPr>
            <w:r>
              <w:rPr>
                <w:sz w:val="20"/>
              </w:rPr>
              <w:t>Gás natural (m³)</w:t>
            </w:r>
          </w:p>
        </w:tc>
        <w:tc>
          <w:tcPr>
            <w:tcW w:w="1361" w:type="dxa"/>
            <w:tcBorders>
              <w:left w:val="nil"/>
              <w:right w:val="nil"/>
            </w:tcBorders>
          </w:tcPr>
          <w:p w14:paraId="07F5FD51" w14:textId="77777777" w:rsidR="00643609" w:rsidRDefault="000651AA">
            <w:pPr>
              <w:spacing w:after="0" w:line="240" w:lineRule="auto"/>
              <w:jc w:val="center"/>
            </w:pPr>
            <w:r>
              <w:rPr>
                <w:sz w:val="20"/>
              </w:rPr>
              <w:t>3.055</w:t>
            </w:r>
          </w:p>
        </w:tc>
        <w:tc>
          <w:tcPr>
            <w:tcW w:w="1361" w:type="dxa"/>
            <w:tcBorders>
              <w:left w:val="nil"/>
              <w:right w:val="nil"/>
            </w:tcBorders>
          </w:tcPr>
          <w:p w14:paraId="0303CD2B" w14:textId="77777777" w:rsidR="00643609" w:rsidRDefault="000651AA">
            <w:pPr>
              <w:spacing w:after="0" w:line="240" w:lineRule="auto"/>
              <w:jc w:val="center"/>
            </w:pPr>
            <w:r>
              <w:rPr>
                <w:sz w:val="20"/>
              </w:rPr>
              <w:t>0</w:t>
            </w:r>
          </w:p>
        </w:tc>
        <w:tc>
          <w:tcPr>
            <w:tcW w:w="1361" w:type="dxa"/>
            <w:tcBorders>
              <w:left w:val="nil"/>
              <w:right w:val="nil"/>
            </w:tcBorders>
          </w:tcPr>
          <w:p w14:paraId="43E29BB3" w14:textId="77777777" w:rsidR="00643609" w:rsidRDefault="000651AA">
            <w:pPr>
              <w:spacing w:after="0" w:line="240" w:lineRule="auto"/>
              <w:jc w:val="center"/>
            </w:pPr>
            <w:r>
              <w:rPr>
                <w:sz w:val="20"/>
              </w:rPr>
              <w:t>2.743</w:t>
            </w:r>
          </w:p>
        </w:tc>
        <w:tc>
          <w:tcPr>
            <w:tcW w:w="1361" w:type="dxa"/>
            <w:tcBorders>
              <w:left w:val="nil"/>
              <w:right w:val="nil"/>
            </w:tcBorders>
            <w:shd w:val="clear" w:color="auto" w:fill="FFF2CC"/>
          </w:tcPr>
          <w:p w14:paraId="677BFAE4" w14:textId="77777777" w:rsidR="00643609" w:rsidRDefault="000651AA">
            <w:pPr>
              <w:spacing w:after="0" w:line="240" w:lineRule="auto"/>
              <w:jc w:val="center"/>
            </w:pPr>
            <w:r>
              <w:rPr>
                <w:sz w:val="20"/>
              </w:rPr>
              <w:t>6.827.865</w:t>
            </w:r>
          </w:p>
        </w:tc>
      </w:tr>
      <w:tr w:rsidR="00643609" w14:paraId="60EC0008" w14:textId="77777777">
        <w:trPr>
          <w:cantSplit/>
          <w:jc w:val="center"/>
        </w:trPr>
        <w:tc>
          <w:tcPr>
            <w:tcW w:w="3628" w:type="dxa"/>
            <w:tcBorders>
              <w:left w:val="nil"/>
              <w:right w:val="nil"/>
            </w:tcBorders>
          </w:tcPr>
          <w:p w14:paraId="49A14BE6" w14:textId="77777777" w:rsidR="00643609" w:rsidRDefault="000651AA">
            <w:pPr>
              <w:spacing w:after="0" w:line="240" w:lineRule="auto"/>
            </w:pPr>
            <w:r>
              <w:rPr>
                <w:sz w:val="20"/>
              </w:rPr>
              <w:t>Querosene de aviação (litros)</w:t>
            </w:r>
          </w:p>
        </w:tc>
        <w:tc>
          <w:tcPr>
            <w:tcW w:w="1361" w:type="dxa"/>
            <w:tcBorders>
              <w:left w:val="nil"/>
              <w:right w:val="nil"/>
            </w:tcBorders>
          </w:tcPr>
          <w:p w14:paraId="4BE980BC" w14:textId="77777777" w:rsidR="00643609" w:rsidRDefault="000651AA">
            <w:pPr>
              <w:spacing w:after="0" w:line="240" w:lineRule="auto"/>
              <w:jc w:val="center"/>
            </w:pPr>
            <w:r>
              <w:rPr>
                <w:sz w:val="20"/>
              </w:rPr>
              <w:t>27.382</w:t>
            </w:r>
          </w:p>
        </w:tc>
        <w:tc>
          <w:tcPr>
            <w:tcW w:w="1361" w:type="dxa"/>
            <w:tcBorders>
              <w:left w:val="nil"/>
              <w:right w:val="nil"/>
            </w:tcBorders>
          </w:tcPr>
          <w:p w14:paraId="57FC7F64" w14:textId="77777777" w:rsidR="00643609" w:rsidRDefault="000651AA">
            <w:pPr>
              <w:spacing w:after="0" w:line="240" w:lineRule="auto"/>
              <w:jc w:val="center"/>
            </w:pPr>
            <w:r>
              <w:rPr>
                <w:sz w:val="20"/>
              </w:rPr>
              <w:t>36.345</w:t>
            </w:r>
          </w:p>
        </w:tc>
        <w:tc>
          <w:tcPr>
            <w:tcW w:w="1361" w:type="dxa"/>
            <w:tcBorders>
              <w:left w:val="nil"/>
              <w:right w:val="nil"/>
            </w:tcBorders>
          </w:tcPr>
          <w:p w14:paraId="0CB00A08" w14:textId="77777777" w:rsidR="00643609" w:rsidRDefault="000651AA">
            <w:pPr>
              <w:spacing w:after="0" w:line="240" w:lineRule="auto"/>
              <w:jc w:val="center"/>
            </w:pPr>
            <w:r>
              <w:rPr>
                <w:sz w:val="20"/>
              </w:rPr>
              <w:t>30.425</w:t>
            </w:r>
          </w:p>
        </w:tc>
        <w:tc>
          <w:tcPr>
            <w:tcW w:w="1361" w:type="dxa"/>
            <w:tcBorders>
              <w:left w:val="nil"/>
              <w:right w:val="nil"/>
            </w:tcBorders>
          </w:tcPr>
          <w:p w14:paraId="587D7B32" w14:textId="77777777" w:rsidR="00643609" w:rsidRDefault="000651AA">
            <w:pPr>
              <w:spacing w:after="0" w:line="240" w:lineRule="auto"/>
              <w:jc w:val="center"/>
            </w:pPr>
            <w:r>
              <w:rPr>
                <w:sz w:val="20"/>
              </w:rPr>
              <w:t>50.645</w:t>
            </w:r>
          </w:p>
        </w:tc>
      </w:tr>
      <w:tr w:rsidR="00643609" w14:paraId="218BB8FB" w14:textId="77777777">
        <w:trPr>
          <w:cantSplit/>
          <w:jc w:val="center"/>
        </w:trPr>
        <w:tc>
          <w:tcPr>
            <w:tcW w:w="3628" w:type="dxa"/>
            <w:tcBorders>
              <w:left w:val="nil"/>
              <w:right w:val="nil"/>
            </w:tcBorders>
          </w:tcPr>
          <w:p w14:paraId="58CA2F10" w14:textId="77777777" w:rsidR="00643609" w:rsidRDefault="000651AA">
            <w:pPr>
              <w:spacing w:after="0" w:line="240" w:lineRule="auto"/>
            </w:pPr>
            <w:r>
              <w:rPr>
                <w:sz w:val="20"/>
              </w:rPr>
              <w:t>Gás liquefeito de petróleo - GLP (kg)</w:t>
            </w:r>
          </w:p>
        </w:tc>
        <w:tc>
          <w:tcPr>
            <w:tcW w:w="1361" w:type="dxa"/>
            <w:tcBorders>
              <w:left w:val="nil"/>
              <w:right w:val="nil"/>
            </w:tcBorders>
          </w:tcPr>
          <w:p w14:paraId="5F7C51D3" w14:textId="77777777" w:rsidR="00643609" w:rsidRDefault="000651AA">
            <w:pPr>
              <w:spacing w:after="0" w:line="240" w:lineRule="auto"/>
              <w:jc w:val="center"/>
            </w:pPr>
            <w:r>
              <w:rPr>
                <w:sz w:val="20"/>
              </w:rPr>
              <w:t>463</w:t>
            </w:r>
          </w:p>
        </w:tc>
        <w:tc>
          <w:tcPr>
            <w:tcW w:w="1361" w:type="dxa"/>
            <w:tcBorders>
              <w:left w:val="nil"/>
              <w:right w:val="nil"/>
            </w:tcBorders>
          </w:tcPr>
          <w:p w14:paraId="3F5C03C3" w14:textId="77777777" w:rsidR="00643609" w:rsidRDefault="000651AA">
            <w:pPr>
              <w:spacing w:after="0" w:line="240" w:lineRule="auto"/>
              <w:jc w:val="center"/>
            </w:pPr>
            <w:r>
              <w:rPr>
                <w:sz w:val="20"/>
              </w:rPr>
              <w:t>420</w:t>
            </w:r>
          </w:p>
        </w:tc>
        <w:tc>
          <w:tcPr>
            <w:tcW w:w="1361" w:type="dxa"/>
            <w:tcBorders>
              <w:left w:val="nil"/>
              <w:right w:val="nil"/>
            </w:tcBorders>
          </w:tcPr>
          <w:p w14:paraId="48093033" w14:textId="77777777" w:rsidR="00643609" w:rsidRDefault="000651AA">
            <w:pPr>
              <w:spacing w:after="0" w:line="240" w:lineRule="auto"/>
              <w:jc w:val="center"/>
            </w:pPr>
            <w:r>
              <w:rPr>
                <w:sz w:val="20"/>
              </w:rPr>
              <w:t>440</w:t>
            </w:r>
          </w:p>
        </w:tc>
        <w:tc>
          <w:tcPr>
            <w:tcW w:w="1361" w:type="dxa"/>
            <w:tcBorders>
              <w:left w:val="nil"/>
              <w:right w:val="nil"/>
            </w:tcBorders>
            <w:shd w:val="clear" w:color="auto" w:fill="FFF2CC"/>
          </w:tcPr>
          <w:p w14:paraId="238ADEA2" w14:textId="77777777" w:rsidR="00643609" w:rsidRDefault="000651AA">
            <w:pPr>
              <w:spacing w:after="0" w:line="240" w:lineRule="auto"/>
              <w:jc w:val="center"/>
            </w:pPr>
            <w:r>
              <w:rPr>
                <w:sz w:val="20"/>
              </w:rPr>
              <w:t>17.410.000</w:t>
            </w:r>
          </w:p>
        </w:tc>
      </w:tr>
      <w:tr w:rsidR="00643609" w14:paraId="4E08E344" w14:textId="77777777">
        <w:trPr>
          <w:cantSplit/>
          <w:jc w:val="center"/>
        </w:trPr>
        <w:tc>
          <w:tcPr>
            <w:tcW w:w="3628" w:type="dxa"/>
            <w:tcBorders>
              <w:left w:val="nil"/>
              <w:right w:val="nil"/>
            </w:tcBorders>
          </w:tcPr>
          <w:p w14:paraId="08443DA5" w14:textId="77777777" w:rsidR="00643609" w:rsidRDefault="000651AA">
            <w:pPr>
              <w:spacing w:after="0" w:line="240" w:lineRule="auto"/>
            </w:pPr>
            <w:r>
              <w:rPr>
                <w:sz w:val="20"/>
              </w:rPr>
              <w:t xml:space="preserve">Consumo </w:t>
            </w:r>
            <w:r>
              <w:rPr>
                <w:sz w:val="20"/>
              </w:rPr>
              <w:t>total de combustíveis (GJ)</w:t>
            </w:r>
          </w:p>
        </w:tc>
        <w:tc>
          <w:tcPr>
            <w:tcW w:w="1361" w:type="dxa"/>
            <w:tcBorders>
              <w:left w:val="nil"/>
              <w:right w:val="nil"/>
            </w:tcBorders>
          </w:tcPr>
          <w:p w14:paraId="3CFD88DB" w14:textId="77777777" w:rsidR="00643609" w:rsidRDefault="000651AA">
            <w:pPr>
              <w:spacing w:after="0" w:line="240" w:lineRule="auto"/>
              <w:jc w:val="center"/>
            </w:pPr>
            <w:r>
              <w:rPr>
                <w:sz w:val="20"/>
              </w:rPr>
              <w:t>227.418</w:t>
            </w:r>
          </w:p>
        </w:tc>
        <w:tc>
          <w:tcPr>
            <w:tcW w:w="1361" w:type="dxa"/>
            <w:tcBorders>
              <w:left w:val="nil"/>
              <w:right w:val="nil"/>
            </w:tcBorders>
          </w:tcPr>
          <w:p w14:paraId="65780FF3" w14:textId="77777777" w:rsidR="00643609" w:rsidRDefault="000651AA">
            <w:pPr>
              <w:spacing w:after="0" w:line="240" w:lineRule="auto"/>
              <w:jc w:val="center"/>
            </w:pPr>
            <w:r>
              <w:rPr>
                <w:sz w:val="20"/>
              </w:rPr>
              <w:t>92.541</w:t>
            </w:r>
          </w:p>
        </w:tc>
        <w:tc>
          <w:tcPr>
            <w:tcW w:w="1361" w:type="dxa"/>
            <w:tcBorders>
              <w:left w:val="nil"/>
              <w:right w:val="nil"/>
            </w:tcBorders>
          </w:tcPr>
          <w:p w14:paraId="4A08C7AD" w14:textId="77777777" w:rsidR="00643609" w:rsidRDefault="000651AA">
            <w:pPr>
              <w:spacing w:after="0" w:line="240" w:lineRule="auto"/>
              <w:jc w:val="center"/>
            </w:pPr>
            <w:r>
              <w:rPr>
                <w:sz w:val="20"/>
              </w:rPr>
              <w:t>96.638</w:t>
            </w:r>
          </w:p>
        </w:tc>
        <w:tc>
          <w:tcPr>
            <w:tcW w:w="1361" w:type="dxa"/>
            <w:tcBorders>
              <w:left w:val="nil"/>
              <w:right w:val="nil"/>
            </w:tcBorders>
          </w:tcPr>
          <w:p w14:paraId="4DE10EFD" w14:textId="77777777" w:rsidR="00643609" w:rsidRDefault="000651AA">
            <w:pPr>
              <w:spacing w:after="0" w:line="240" w:lineRule="auto"/>
              <w:jc w:val="center"/>
            </w:pPr>
            <w:r>
              <w:rPr>
                <w:sz w:val="20"/>
              </w:rPr>
              <w:t>119.161</w:t>
            </w:r>
          </w:p>
        </w:tc>
      </w:tr>
      <w:tr w:rsidR="00643609" w14:paraId="2BA79F9D" w14:textId="77777777">
        <w:trPr>
          <w:cantSplit/>
          <w:jc w:val="center"/>
        </w:trPr>
        <w:tc>
          <w:tcPr>
            <w:tcW w:w="3628" w:type="dxa"/>
            <w:tcBorders>
              <w:top w:val="single" w:sz="6" w:space="0" w:color="000000"/>
              <w:left w:val="nil"/>
              <w:bottom w:val="single" w:sz="6" w:space="0" w:color="000000"/>
              <w:right w:val="nil"/>
            </w:tcBorders>
            <w:shd w:val="clear" w:color="auto" w:fill="E7E6E6"/>
          </w:tcPr>
          <w:p w14:paraId="46037BFF" w14:textId="77777777" w:rsidR="00643609" w:rsidRDefault="000651AA">
            <w:pPr>
              <w:spacing w:after="0" w:line="240" w:lineRule="auto"/>
            </w:pPr>
            <w:r>
              <w:rPr>
                <w:b/>
                <w:sz w:val="20"/>
              </w:rPr>
              <w:t>Consumo energético</w:t>
            </w:r>
          </w:p>
        </w:tc>
        <w:tc>
          <w:tcPr>
            <w:tcW w:w="1361" w:type="dxa"/>
            <w:tcBorders>
              <w:top w:val="single" w:sz="6" w:space="0" w:color="000000"/>
              <w:left w:val="nil"/>
              <w:bottom w:val="single" w:sz="6" w:space="0" w:color="000000"/>
              <w:right w:val="nil"/>
            </w:tcBorders>
            <w:shd w:val="clear" w:color="auto" w:fill="E7E6E6"/>
          </w:tcPr>
          <w:p w14:paraId="0EB8CCBE" w14:textId="77777777" w:rsidR="00643609" w:rsidRDefault="000651AA">
            <w:pPr>
              <w:spacing w:after="0" w:line="240" w:lineRule="auto"/>
              <w:jc w:val="center"/>
            </w:pPr>
            <w:r>
              <w:rPr>
                <w:b/>
                <w:sz w:val="20"/>
              </w:rPr>
              <w:t>2023</w:t>
            </w:r>
          </w:p>
        </w:tc>
        <w:tc>
          <w:tcPr>
            <w:tcW w:w="1361" w:type="dxa"/>
            <w:tcBorders>
              <w:top w:val="single" w:sz="6" w:space="0" w:color="000000"/>
              <w:left w:val="nil"/>
              <w:bottom w:val="single" w:sz="6" w:space="0" w:color="000000"/>
              <w:right w:val="nil"/>
            </w:tcBorders>
            <w:shd w:val="clear" w:color="auto" w:fill="E7E6E6"/>
          </w:tcPr>
          <w:p w14:paraId="6293461A" w14:textId="77777777" w:rsidR="00643609" w:rsidRDefault="000651AA">
            <w:pPr>
              <w:spacing w:after="0" w:line="240" w:lineRule="auto"/>
              <w:jc w:val="center"/>
            </w:pPr>
            <w:r>
              <w:rPr>
                <w:b/>
                <w:sz w:val="20"/>
              </w:rPr>
              <w:t>2022</w:t>
            </w:r>
          </w:p>
        </w:tc>
        <w:tc>
          <w:tcPr>
            <w:tcW w:w="1361" w:type="dxa"/>
            <w:tcBorders>
              <w:top w:val="single" w:sz="6" w:space="0" w:color="000000"/>
              <w:left w:val="nil"/>
              <w:bottom w:val="single" w:sz="6" w:space="0" w:color="000000"/>
              <w:right w:val="nil"/>
            </w:tcBorders>
            <w:shd w:val="clear" w:color="auto" w:fill="E7E6E6"/>
          </w:tcPr>
          <w:p w14:paraId="46F52C4F" w14:textId="77777777" w:rsidR="00643609" w:rsidRDefault="000651AA">
            <w:pPr>
              <w:spacing w:after="0" w:line="240" w:lineRule="auto"/>
              <w:jc w:val="center"/>
            </w:pPr>
            <w:r>
              <w:rPr>
                <w:b/>
                <w:sz w:val="20"/>
              </w:rPr>
              <w:t>2021</w:t>
            </w:r>
          </w:p>
        </w:tc>
        <w:tc>
          <w:tcPr>
            <w:tcW w:w="1361" w:type="dxa"/>
            <w:tcBorders>
              <w:top w:val="single" w:sz="6" w:space="0" w:color="000000"/>
              <w:left w:val="nil"/>
              <w:bottom w:val="single" w:sz="6" w:space="0" w:color="000000"/>
              <w:right w:val="nil"/>
            </w:tcBorders>
            <w:shd w:val="clear" w:color="auto" w:fill="E7E6E6"/>
          </w:tcPr>
          <w:p w14:paraId="46B1BCDF" w14:textId="77777777" w:rsidR="00643609" w:rsidRDefault="000651AA">
            <w:pPr>
              <w:spacing w:after="0" w:line="240" w:lineRule="auto"/>
              <w:jc w:val="center"/>
            </w:pPr>
            <w:r>
              <w:rPr>
                <w:b/>
                <w:sz w:val="20"/>
              </w:rPr>
              <w:t>2020</w:t>
            </w:r>
          </w:p>
        </w:tc>
      </w:tr>
      <w:tr w:rsidR="00643609" w14:paraId="488DA442" w14:textId="77777777">
        <w:trPr>
          <w:cantSplit/>
          <w:jc w:val="center"/>
        </w:trPr>
        <w:tc>
          <w:tcPr>
            <w:tcW w:w="3628" w:type="dxa"/>
            <w:tcBorders>
              <w:left w:val="nil"/>
              <w:right w:val="nil"/>
            </w:tcBorders>
          </w:tcPr>
          <w:p w14:paraId="58A31364" w14:textId="77777777" w:rsidR="00643609" w:rsidRDefault="000651AA">
            <w:pPr>
              <w:spacing w:after="0" w:line="240" w:lineRule="auto"/>
            </w:pPr>
            <w:r>
              <w:rPr>
                <w:sz w:val="20"/>
              </w:rPr>
              <w:t>Consumo total de energia (GJ)</w:t>
            </w:r>
          </w:p>
        </w:tc>
        <w:tc>
          <w:tcPr>
            <w:tcW w:w="1361" w:type="dxa"/>
            <w:tcBorders>
              <w:left w:val="nil"/>
              <w:right w:val="nil"/>
            </w:tcBorders>
            <w:shd w:val="clear" w:color="auto" w:fill="FFF2CC"/>
          </w:tcPr>
          <w:p w14:paraId="032BB681" w14:textId="77777777" w:rsidR="00643609" w:rsidRDefault="000651AA">
            <w:pPr>
              <w:spacing w:after="0" w:line="240" w:lineRule="auto"/>
              <w:jc w:val="center"/>
            </w:pPr>
            <w:r>
              <w:rPr>
                <w:sz w:val="20"/>
              </w:rPr>
              <w:t>355.847</w:t>
            </w:r>
          </w:p>
        </w:tc>
        <w:tc>
          <w:tcPr>
            <w:tcW w:w="1361" w:type="dxa"/>
            <w:tcBorders>
              <w:left w:val="nil"/>
              <w:right w:val="nil"/>
            </w:tcBorders>
          </w:tcPr>
          <w:p w14:paraId="3F0517CE" w14:textId="77777777" w:rsidR="00643609" w:rsidRDefault="000651AA">
            <w:pPr>
              <w:spacing w:after="0" w:line="240" w:lineRule="auto"/>
              <w:jc w:val="center"/>
            </w:pPr>
            <w:r>
              <w:rPr>
                <w:sz w:val="20"/>
              </w:rPr>
              <w:t>221.313</w:t>
            </w:r>
          </w:p>
        </w:tc>
        <w:tc>
          <w:tcPr>
            <w:tcW w:w="1361" w:type="dxa"/>
            <w:tcBorders>
              <w:left w:val="nil"/>
              <w:right w:val="nil"/>
            </w:tcBorders>
          </w:tcPr>
          <w:p w14:paraId="416F025E" w14:textId="77777777" w:rsidR="00643609" w:rsidRDefault="000651AA">
            <w:pPr>
              <w:spacing w:after="0" w:line="240" w:lineRule="auto"/>
              <w:jc w:val="center"/>
            </w:pPr>
            <w:r>
              <w:rPr>
                <w:sz w:val="20"/>
              </w:rPr>
              <w:t>215.679</w:t>
            </w:r>
          </w:p>
        </w:tc>
        <w:tc>
          <w:tcPr>
            <w:tcW w:w="1361" w:type="dxa"/>
            <w:tcBorders>
              <w:left w:val="nil"/>
              <w:right w:val="nil"/>
            </w:tcBorders>
          </w:tcPr>
          <w:p w14:paraId="5ABABA65" w14:textId="77777777" w:rsidR="00643609" w:rsidRDefault="000651AA">
            <w:pPr>
              <w:spacing w:after="0" w:line="240" w:lineRule="auto"/>
              <w:jc w:val="center"/>
            </w:pPr>
            <w:r>
              <w:rPr>
                <w:sz w:val="20"/>
              </w:rPr>
              <w:t>241.878</w:t>
            </w:r>
          </w:p>
        </w:tc>
      </w:tr>
      <w:tr w:rsidR="00643609" w14:paraId="22F03044" w14:textId="77777777">
        <w:trPr>
          <w:cantSplit/>
          <w:jc w:val="center"/>
        </w:trPr>
        <w:tc>
          <w:tcPr>
            <w:tcW w:w="3628" w:type="dxa"/>
            <w:tcBorders>
              <w:left w:val="nil"/>
              <w:bottom w:val="single" w:sz="6" w:space="0" w:color="000000"/>
              <w:right w:val="nil"/>
            </w:tcBorders>
          </w:tcPr>
          <w:p w14:paraId="7CE36392" w14:textId="77777777" w:rsidR="00643609" w:rsidRDefault="000651AA">
            <w:pPr>
              <w:spacing w:after="0" w:line="240" w:lineRule="auto"/>
            </w:pPr>
            <w:r>
              <w:rPr>
                <w:sz w:val="20"/>
              </w:rPr>
              <w:t>Consumo total de energia (GJ) por GWh vendido</w:t>
            </w:r>
          </w:p>
        </w:tc>
        <w:tc>
          <w:tcPr>
            <w:tcW w:w="1361" w:type="dxa"/>
            <w:tcBorders>
              <w:left w:val="nil"/>
              <w:bottom w:val="single" w:sz="6" w:space="0" w:color="000000"/>
              <w:right w:val="nil"/>
            </w:tcBorders>
          </w:tcPr>
          <w:p w14:paraId="3A6FD1F3" w14:textId="77777777" w:rsidR="00643609" w:rsidRDefault="000651AA">
            <w:pPr>
              <w:spacing w:after="0" w:line="240" w:lineRule="auto"/>
              <w:jc w:val="center"/>
            </w:pPr>
            <w:r>
              <w:rPr>
                <w:sz w:val="20"/>
              </w:rPr>
              <w:t>11,92</w:t>
            </w:r>
          </w:p>
        </w:tc>
        <w:tc>
          <w:tcPr>
            <w:tcW w:w="1361" w:type="dxa"/>
            <w:tcBorders>
              <w:left w:val="nil"/>
              <w:bottom w:val="single" w:sz="6" w:space="0" w:color="000000"/>
              <w:right w:val="nil"/>
            </w:tcBorders>
          </w:tcPr>
          <w:p w14:paraId="6ED61F22" w14:textId="77777777" w:rsidR="00643609" w:rsidRDefault="000651AA">
            <w:pPr>
              <w:spacing w:after="0" w:line="240" w:lineRule="auto"/>
              <w:jc w:val="center"/>
            </w:pPr>
            <w:r>
              <w:rPr>
                <w:sz w:val="20"/>
              </w:rPr>
              <w:t>9,97</w:t>
            </w:r>
          </w:p>
        </w:tc>
        <w:tc>
          <w:tcPr>
            <w:tcW w:w="1361" w:type="dxa"/>
            <w:tcBorders>
              <w:left w:val="nil"/>
              <w:bottom w:val="single" w:sz="6" w:space="0" w:color="000000"/>
              <w:right w:val="nil"/>
            </w:tcBorders>
          </w:tcPr>
          <w:p w14:paraId="27753C9C" w14:textId="77777777" w:rsidR="00643609" w:rsidRDefault="000651AA">
            <w:pPr>
              <w:spacing w:after="0" w:line="240" w:lineRule="auto"/>
              <w:jc w:val="center"/>
            </w:pPr>
            <w:r>
              <w:rPr>
                <w:sz w:val="20"/>
              </w:rPr>
              <w:t>8,86</w:t>
            </w:r>
          </w:p>
        </w:tc>
        <w:tc>
          <w:tcPr>
            <w:tcW w:w="1361" w:type="dxa"/>
            <w:tcBorders>
              <w:left w:val="nil"/>
              <w:bottom w:val="single" w:sz="6" w:space="0" w:color="000000"/>
              <w:right w:val="nil"/>
            </w:tcBorders>
          </w:tcPr>
          <w:p w14:paraId="57A2FDD1" w14:textId="77777777" w:rsidR="00643609" w:rsidRDefault="000651AA">
            <w:pPr>
              <w:spacing w:after="0" w:line="240" w:lineRule="auto"/>
              <w:jc w:val="center"/>
            </w:pPr>
            <w:r>
              <w:rPr>
                <w:sz w:val="20"/>
              </w:rPr>
              <w:t>9,99</w:t>
            </w:r>
          </w:p>
        </w:tc>
      </w:tr>
    </w:tbl>
    <w:p w14:paraId="73786569" w14:textId="77777777" w:rsidR="00643609" w:rsidRDefault="00643609">
      <w:pPr>
        <w:spacing w:after="0" w:line="240" w:lineRule="auto"/>
      </w:pPr>
    </w:p>
    <w:p w14:paraId="6CD75CA3" w14:textId="77777777" w:rsidR="00643609" w:rsidRDefault="000651AA">
      <w:pPr>
        <w:spacing w:after="240" w:line="240" w:lineRule="auto"/>
      </w:pPr>
      <w:r>
        <w:rPr>
          <w:sz w:val="20"/>
        </w:rPr>
        <w:t xml:space="preserve">Fonte: </w:t>
      </w:r>
      <w:r>
        <w:rPr>
          <w:sz w:val="20"/>
        </w:rPr>
        <w:t>Relatórios Anuais de Responsabilidade Socioambiental (2020; 2023)</w:t>
      </w:r>
    </w:p>
    <w:p w14:paraId="1D09BDD9" w14:textId="77777777" w:rsidR="00643609" w:rsidRDefault="000651AA" w:rsidP="00AB5F50">
      <w:pPr>
        <w:spacing w:after="0" w:line="360" w:lineRule="auto"/>
        <w:ind w:firstLine="720"/>
        <w:jc w:val="both"/>
      </w:pPr>
      <w:r>
        <w:t>Conforme a Tabela 3 é notório que houve uma variação do consumo de energia elétrica entre 2020 a 2023. De 2020 para 2021 diminuiu o consumo de energia, mas, em 2022 aconteceu um aumento comp</w:t>
      </w:r>
      <w:r>
        <w:t>arado a 2021. A companhia vem diminuindo seu consumo de energia elétrica e vem aumentando o consumo energético por gás natural. O resultado desse impacto na empresa é positivo, pois o consumo de energia por gás natural é maior em relação a produção de ener</w:t>
      </w:r>
      <w:r>
        <w:t>gia elétrica.</w:t>
      </w:r>
    </w:p>
    <w:p w14:paraId="19C4DF36" w14:textId="77777777" w:rsidR="00643609" w:rsidRDefault="000651AA" w:rsidP="00AB5F50">
      <w:pPr>
        <w:spacing w:after="0" w:line="360" w:lineRule="auto"/>
        <w:ind w:firstLine="720"/>
        <w:jc w:val="both"/>
      </w:pPr>
      <w:r>
        <w:t>O consumo de combustíveis começou a diminuir a partir de 2022, mas aumentou em 2023. No consumo total de combustíveis totaliza 1,89% de crescimento de 2022 para 2023.</w:t>
      </w:r>
    </w:p>
    <w:p w14:paraId="30B3E8FE" w14:textId="77777777" w:rsidR="00643609" w:rsidRDefault="000651AA" w:rsidP="00AB5F50">
      <w:pPr>
        <w:spacing w:after="0" w:line="360" w:lineRule="auto"/>
        <w:ind w:firstLine="720"/>
        <w:jc w:val="both"/>
      </w:pPr>
      <w:r>
        <w:t xml:space="preserve">A Tabela 3 torna evidente uma ampla preocupação da CEMIG em reduzir </w:t>
      </w:r>
      <w:r>
        <w:t>combustíveis fósseis, que são nocivos ao meio ambiente, sendo destacado o diesel (2020 para 2023) e o querosene de aviação (de 2020 para 2023). Reduções de combustíveis fósseis proporciona um equilíbrio mais efetivo e redução acentuada nos impactos ambient</w:t>
      </w:r>
      <w:r>
        <w:t>ais.</w:t>
      </w:r>
    </w:p>
    <w:p w14:paraId="00FE31F7" w14:textId="77777777" w:rsidR="00643609" w:rsidRDefault="000651AA" w:rsidP="00AB5F50">
      <w:pPr>
        <w:spacing w:after="0" w:line="360" w:lineRule="auto"/>
        <w:ind w:firstLine="720"/>
        <w:jc w:val="both"/>
      </w:pPr>
      <w:r>
        <w:rPr>
          <w:b/>
        </w:rPr>
        <w:lastRenderedPageBreak/>
        <w:t>4.5 Consumo de água e geração de efluentes</w:t>
      </w:r>
    </w:p>
    <w:p w14:paraId="32CF9477" w14:textId="77777777" w:rsidR="00643609" w:rsidRDefault="000651AA" w:rsidP="00AB5F50">
      <w:pPr>
        <w:spacing w:after="0" w:line="360" w:lineRule="auto"/>
        <w:ind w:firstLine="720"/>
        <w:jc w:val="both"/>
      </w:pPr>
      <w:r>
        <w:t>O consumo de água de abastecimento é fiscalizado pela CEMIG provida da rede pública. De 2020 a 2023 houve um aumento no consumo de água pela CEMIG e também na geração do tratamento de efluentes. Em 2023 o con</w:t>
      </w:r>
      <w:r>
        <w:t>sumo foi 40% superior ao ano de 2022, devido à realização de obras para construção de nova de subestações (Relatório Anual de Responsabilidade Socioambiental CEMIG D, 2023).</w:t>
      </w:r>
    </w:p>
    <w:tbl>
      <w:tblPr>
        <w:tblW w:w="0" w:type="auto"/>
        <w:jc w:val="center"/>
        <w:tblLayout w:type="fixed"/>
        <w:tblLook w:val="04A0" w:firstRow="1" w:lastRow="0" w:firstColumn="1" w:lastColumn="0" w:noHBand="0" w:noVBand="1"/>
      </w:tblPr>
      <w:tblGrid>
        <w:gridCol w:w="3628"/>
        <w:gridCol w:w="1361"/>
        <w:gridCol w:w="1361"/>
        <w:gridCol w:w="1361"/>
        <w:gridCol w:w="1361"/>
      </w:tblGrid>
      <w:tr w:rsidR="00643609" w14:paraId="15994944" w14:textId="77777777">
        <w:trPr>
          <w:cantSplit/>
          <w:tblHeader/>
          <w:jc w:val="center"/>
        </w:trPr>
        <w:tc>
          <w:tcPr>
            <w:tcW w:w="9070" w:type="dxa"/>
            <w:gridSpan w:val="5"/>
            <w:tcBorders>
              <w:top w:val="nil"/>
              <w:left w:val="nil"/>
              <w:bottom w:val="nil"/>
              <w:right w:val="nil"/>
            </w:tcBorders>
          </w:tcPr>
          <w:p w14:paraId="607F7ADD" w14:textId="77777777" w:rsidR="00643609" w:rsidRDefault="000651AA">
            <w:pPr>
              <w:keepNext/>
              <w:spacing w:after="120" w:line="240" w:lineRule="auto"/>
            </w:pPr>
            <w:r>
              <w:rPr>
                <w:b/>
                <w:sz w:val="20"/>
              </w:rPr>
              <w:t>Tabela 4: Consumo de água e geração de efluentes</w:t>
            </w:r>
          </w:p>
        </w:tc>
      </w:tr>
      <w:tr w:rsidR="00643609" w14:paraId="079335CC" w14:textId="77777777">
        <w:trPr>
          <w:cantSplit/>
          <w:tblHeader/>
          <w:jc w:val="center"/>
        </w:trPr>
        <w:tc>
          <w:tcPr>
            <w:tcW w:w="3628" w:type="dxa"/>
            <w:tcBorders>
              <w:top w:val="single" w:sz="6" w:space="0" w:color="000000"/>
              <w:left w:val="nil"/>
              <w:bottom w:val="single" w:sz="6" w:space="0" w:color="000000"/>
              <w:right w:val="nil"/>
            </w:tcBorders>
            <w:shd w:val="clear" w:color="auto" w:fill="E7E6E6"/>
          </w:tcPr>
          <w:p w14:paraId="349C70BF" w14:textId="77777777" w:rsidR="00643609" w:rsidRDefault="000651AA">
            <w:pPr>
              <w:keepNext/>
              <w:spacing w:after="0" w:line="240" w:lineRule="auto"/>
            </w:pPr>
            <w:r>
              <w:rPr>
                <w:b/>
                <w:sz w:val="20"/>
              </w:rPr>
              <w:t>Consumo total de água por (em m³</w:t>
            </w:r>
            <w:r>
              <w:rPr>
                <w:b/>
                <w:sz w:val="20"/>
              </w:rPr>
              <w:t>)</w:t>
            </w:r>
          </w:p>
        </w:tc>
        <w:tc>
          <w:tcPr>
            <w:tcW w:w="1361" w:type="dxa"/>
            <w:tcBorders>
              <w:top w:val="single" w:sz="6" w:space="0" w:color="000000"/>
              <w:left w:val="nil"/>
              <w:bottom w:val="single" w:sz="6" w:space="0" w:color="000000"/>
              <w:right w:val="nil"/>
            </w:tcBorders>
            <w:shd w:val="clear" w:color="auto" w:fill="E7E6E6"/>
          </w:tcPr>
          <w:p w14:paraId="709E2E51" w14:textId="77777777" w:rsidR="00643609" w:rsidRDefault="000651AA">
            <w:pPr>
              <w:keepNext/>
              <w:spacing w:after="0" w:line="240" w:lineRule="auto"/>
              <w:jc w:val="center"/>
            </w:pPr>
            <w:r>
              <w:rPr>
                <w:b/>
                <w:sz w:val="20"/>
              </w:rPr>
              <w:t>2023</w:t>
            </w:r>
          </w:p>
        </w:tc>
        <w:tc>
          <w:tcPr>
            <w:tcW w:w="1361" w:type="dxa"/>
            <w:tcBorders>
              <w:top w:val="single" w:sz="6" w:space="0" w:color="000000"/>
              <w:left w:val="nil"/>
              <w:bottom w:val="single" w:sz="6" w:space="0" w:color="000000"/>
              <w:right w:val="nil"/>
            </w:tcBorders>
            <w:shd w:val="clear" w:color="auto" w:fill="E7E6E6"/>
          </w:tcPr>
          <w:p w14:paraId="7F63DEF2" w14:textId="77777777" w:rsidR="00643609" w:rsidRDefault="000651AA">
            <w:pPr>
              <w:keepNext/>
              <w:spacing w:after="0" w:line="240" w:lineRule="auto"/>
              <w:jc w:val="center"/>
            </w:pPr>
            <w:r>
              <w:rPr>
                <w:b/>
                <w:sz w:val="20"/>
              </w:rPr>
              <w:t>2022</w:t>
            </w:r>
          </w:p>
        </w:tc>
        <w:tc>
          <w:tcPr>
            <w:tcW w:w="1361" w:type="dxa"/>
            <w:tcBorders>
              <w:top w:val="single" w:sz="6" w:space="0" w:color="000000"/>
              <w:left w:val="nil"/>
              <w:bottom w:val="single" w:sz="6" w:space="0" w:color="000000"/>
              <w:right w:val="nil"/>
            </w:tcBorders>
            <w:shd w:val="clear" w:color="auto" w:fill="E7E6E6"/>
          </w:tcPr>
          <w:p w14:paraId="356CDE21" w14:textId="77777777" w:rsidR="00643609" w:rsidRDefault="000651AA">
            <w:pPr>
              <w:keepNext/>
              <w:spacing w:after="0" w:line="240" w:lineRule="auto"/>
              <w:jc w:val="center"/>
            </w:pPr>
            <w:r>
              <w:rPr>
                <w:b/>
                <w:sz w:val="20"/>
              </w:rPr>
              <w:t>2021</w:t>
            </w:r>
          </w:p>
        </w:tc>
        <w:tc>
          <w:tcPr>
            <w:tcW w:w="1361" w:type="dxa"/>
            <w:tcBorders>
              <w:top w:val="single" w:sz="6" w:space="0" w:color="000000"/>
              <w:left w:val="nil"/>
              <w:bottom w:val="single" w:sz="6" w:space="0" w:color="000000"/>
              <w:right w:val="nil"/>
            </w:tcBorders>
            <w:shd w:val="clear" w:color="auto" w:fill="E7E6E6"/>
          </w:tcPr>
          <w:p w14:paraId="2C926757" w14:textId="77777777" w:rsidR="00643609" w:rsidRDefault="000651AA">
            <w:pPr>
              <w:keepNext/>
              <w:spacing w:after="0" w:line="240" w:lineRule="auto"/>
              <w:jc w:val="center"/>
            </w:pPr>
            <w:r>
              <w:rPr>
                <w:b/>
                <w:sz w:val="20"/>
              </w:rPr>
              <w:t>2020</w:t>
            </w:r>
          </w:p>
        </w:tc>
      </w:tr>
      <w:tr w:rsidR="00643609" w14:paraId="04815E91" w14:textId="77777777">
        <w:trPr>
          <w:cantSplit/>
          <w:jc w:val="center"/>
        </w:trPr>
        <w:tc>
          <w:tcPr>
            <w:tcW w:w="3628" w:type="dxa"/>
            <w:tcBorders>
              <w:left w:val="nil"/>
              <w:right w:val="nil"/>
            </w:tcBorders>
          </w:tcPr>
          <w:p w14:paraId="358387A3" w14:textId="77777777" w:rsidR="00643609" w:rsidRDefault="000651AA">
            <w:pPr>
              <w:spacing w:after="0" w:line="240" w:lineRule="auto"/>
            </w:pPr>
            <w:r>
              <w:rPr>
                <w:sz w:val="20"/>
              </w:rPr>
              <w:t>Abastecimento (rede pública)</w:t>
            </w:r>
          </w:p>
        </w:tc>
        <w:tc>
          <w:tcPr>
            <w:tcW w:w="1361" w:type="dxa"/>
            <w:tcBorders>
              <w:left w:val="nil"/>
              <w:right w:val="nil"/>
            </w:tcBorders>
          </w:tcPr>
          <w:p w14:paraId="11F7385B" w14:textId="77777777" w:rsidR="00643609" w:rsidRDefault="000651AA">
            <w:pPr>
              <w:spacing w:after="0" w:line="240" w:lineRule="auto"/>
              <w:jc w:val="center"/>
            </w:pPr>
            <w:r>
              <w:rPr>
                <w:sz w:val="20"/>
              </w:rPr>
              <w:t>149.132</w:t>
            </w:r>
          </w:p>
        </w:tc>
        <w:tc>
          <w:tcPr>
            <w:tcW w:w="1361" w:type="dxa"/>
            <w:tcBorders>
              <w:left w:val="nil"/>
              <w:right w:val="nil"/>
            </w:tcBorders>
          </w:tcPr>
          <w:p w14:paraId="5439C11E" w14:textId="77777777" w:rsidR="00643609" w:rsidRDefault="000651AA">
            <w:pPr>
              <w:spacing w:after="0" w:line="240" w:lineRule="auto"/>
              <w:jc w:val="center"/>
            </w:pPr>
            <w:r>
              <w:rPr>
                <w:sz w:val="20"/>
              </w:rPr>
              <w:t>144.529</w:t>
            </w:r>
          </w:p>
        </w:tc>
        <w:tc>
          <w:tcPr>
            <w:tcW w:w="1361" w:type="dxa"/>
            <w:tcBorders>
              <w:left w:val="nil"/>
              <w:right w:val="nil"/>
            </w:tcBorders>
          </w:tcPr>
          <w:p w14:paraId="46B26F5E" w14:textId="77777777" w:rsidR="00643609" w:rsidRDefault="000651AA">
            <w:pPr>
              <w:spacing w:after="0" w:line="240" w:lineRule="auto"/>
              <w:jc w:val="center"/>
            </w:pPr>
            <w:r>
              <w:rPr>
                <w:sz w:val="20"/>
              </w:rPr>
              <w:t>129.265</w:t>
            </w:r>
          </w:p>
        </w:tc>
        <w:tc>
          <w:tcPr>
            <w:tcW w:w="1361" w:type="dxa"/>
            <w:tcBorders>
              <w:left w:val="nil"/>
              <w:right w:val="nil"/>
            </w:tcBorders>
          </w:tcPr>
          <w:p w14:paraId="46675053" w14:textId="77777777" w:rsidR="00643609" w:rsidRDefault="000651AA">
            <w:pPr>
              <w:spacing w:after="0" w:line="240" w:lineRule="auto"/>
              <w:jc w:val="center"/>
            </w:pPr>
            <w:r>
              <w:rPr>
                <w:sz w:val="20"/>
              </w:rPr>
              <w:t>119.856</w:t>
            </w:r>
          </w:p>
        </w:tc>
      </w:tr>
      <w:tr w:rsidR="00643609" w14:paraId="39139BF4" w14:textId="77777777">
        <w:trPr>
          <w:cantSplit/>
          <w:jc w:val="center"/>
        </w:trPr>
        <w:tc>
          <w:tcPr>
            <w:tcW w:w="3628" w:type="dxa"/>
            <w:tcBorders>
              <w:left w:val="nil"/>
              <w:right w:val="nil"/>
            </w:tcBorders>
          </w:tcPr>
          <w:p w14:paraId="72158F0E" w14:textId="77777777" w:rsidR="00643609" w:rsidRDefault="000651AA">
            <w:pPr>
              <w:spacing w:after="0" w:line="240" w:lineRule="auto"/>
            </w:pPr>
            <w:r>
              <w:rPr>
                <w:sz w:val="20"/>
              </w:rPr>
              <w:t>Fonte subterrânea (poço)</w:t>
            </w:r>
          </w:p>
        </w:tc>
        <w:tc>
          <w:tcPr>
            <w:tcW w:w="1361" w:type="dxa"/>
            <w:tcBorders>
              <w:left w:val="nil"/>
              <w:right w:val="nil"/>
            </w:tcBorders>
          </w:tcPr>
          <w:p w14:paraId="401DF6A2" w14:textId="77777777" w:rsidR="00643609" w:rsidRDefault="000651AA">
            <w:pPr>
              <w:spacing w:after="0" w:line="240" w:lineRule="auto"/>
              <w:jc w:val="center"/>
            </w:pPr>
            <w:r>
              <w:rPr>
                <w:sz w:val="20"/>
              </w:rPr>
              <w:t>1.869</w:t>
            </w:r>
          </w:p>
        </w:tc>
        <w:tc>
          <w:tcPr>
            <w:tcW w:w="1361" w:type="dxa"/>
            <w:tcBorders>
              <w:left w:val="nil"/>
              <w:right w:val="nil"/>
            </w:tcBorders>
          </w:tcPr>
          <w:p w14:paraId="588B8A14" w14:textId="77777777" w:rsidR="00643609" w:rsidRDefault="000651AA">
            <w:pPr>
              <w:spacing w:after="0" w:line="240" w:lineRule="auto"/>
              <w:jc w:val="center"/>
            </w:pPr>
            <w:r>
              <w:rPr>
                <w:sz w:val="20"/>
              </w:rPr>
              <w:t>2.894</w:t>
            </w:r>
          </w:p>
        </w:tc>
        <w:tc>
          <w:tcPr>
            <w:tcW w:w="1361" w:type="dxa"/>
            <w:tcBorders>
              <w:left w:val="nil"/>
              <w:right w:val="nil"/>
            </w:tcBorders>
          </w:tcPr>
          <w:p w14:paraId="7C3D0A50" w14:textId="77777777" w:rsidR="00643609" w:rsidRDefault="000651AA">
            <w:pPr>
              <w:spacing w:after="0" w:line="240" w:lineRule="auto"/>
              <w:jc w:val="center"/>
            </w:pPr>
            <w:r>
              <w:rPr>
                <w:sz w:val="20"/>
              </w:rPr>
              <w:t>904</w:t>
            </w:r>
          </w:p>
        </w:tc>
        <w:tc>
          <w:tcPr>
            <w:tcW w:w="1361" w:type="dxa"/>
            <w:tcBorders>
              <w:left w:val="nil"/>
              <w:right w:val="nil"/>
            </w:tcBorders>
          </w:tcPr>
          <w:p w14:paraId="4CC1923A" w14:textId="77777777" w:rsidR="00643609" w:rsidRDefault="000651AA">
            <w:pPr>
              <w:spacing w:after="0" w:line="240" w:lineRule="auto"/>
              <w:jc w:val="center"/>
            </w:pPr>
            <w:r>
              <w:rPr>
                <w:sz w:val="20"/>
              </w:rPr>
              <w:t>0</w:t>
            </w:r>
          </w:p>
        </w:tc>
      </w:tr>
      <w:tr w:rsidR="00643609" w14:paraId="62657184" w14:textId="77777777">
        <w:trPr>
          <w:cantSplit/>
          <w:jc w:val="center"/>
        </w:trPr>
        <w:tc>
          <w:tcPr>
            <w:tcW w:w="3628" w:type="dxa"/>
            <w:tcBorders>
              <w:left w:val="nil"/>
              <w:right w:val="nil"/>
            </w:tcBorders>
          </w:tcPr>
          <w:p w14:paraId="4052B429" w14:textId="77777777" w:rsidR="00643609" w:rsidRDefault="000651AA">
            <w:pPr>
              <w:spacing w:after="0" w:line="240" w:lineRule="auto"/>
            </w:pPr>
            <w:r>
              <w:rPr>
                <w:sz w:val="20"/>
              </w:rPr>
              <w:t>Captação superficial (cursos d'água)</w:t>
            </w:r>
          </w:p>
        </w:tc>
        <w:tc>
          <w:tcPr>
            <w:tcW w:w="1361" w:type="dxa"/>
            <w:tcBorders>
              <w:left w:val="nil"/>
              <w:right w:val="nil"/>
            </w:tcBorders>
          </w:tcPr>
          <w:p w14:paraId="3FD65E8A" w14:textId="77777777" w:rsidR="00643609" w:rsidRDefault="000651AA">
            <w:pPr>
              <w:spacing w:after="0" w:line="240" w:lineRule="auto"/>
              <w:jc w:val="center"/>
            </w:pPr>
            <w:r>
              <w:rPr>
                <w:sz w:val="20"/>
              </w:rPr>
              <w:t>0</w:t>
            </w:r>
          </w:p>
        </w:tc>
        <w:tc>
          <w:tcPr>
            <w:tcW w:w="1361" w:type="dxa"/>
            <w:tcBorders>
              <w:left w:val="nil"/>
              <w:right w:val="nil"/>
            </w:tcBorders>
          </w:tcPr>
          <w:p w14:paraId="1DF59F37" w14:textId="77777777" w:rsidR="00643609" w:rsidRDefault="000651AA">
            <w:pPr>
              <w:spacing w:after="0" w:line="240" w:lineRule="auto"/>
              <w:jc w:val="center"/>
            </w:pPr>
            <w:r>
              <w:rPr>
                <w:sz w:val="20"/>
              </w:rPr>
              <w:t>0</w:t>
            </w:r>
          </w:p>
        </w:tc>
        <w:tc>
          <w:tcPr>
            <w:tcW w:w="1361" w:type="dxa"/>
            <w:tcBorders>
              <w:left w:val="nil"/>
              <w:right w:val="nil"/>
            </w:tcBorders>
          </w:tcPr>
          <w:p w14:paraId="72E9B49A" w14:textId="77777777" w:rsidR="00643609" w:rsidRDefault="000651AA">
            <w:pPr>
              <w:spacing w:after="0" w:line="240" w:lineRule="auto"/>
              <w:jc w:val="center"/>
            </w:pPr>
            <w:r>
              <w:rPr>
                <w:sz w:val="20"/>
              </w:rPr>
              <w:t>0</w:t>
            </w:r>
          </w:p>
        </w:tc>
        <w:tc>
          <w:tcPr>
            <w:tcW w:w="1361" w:type="dxa"/>
            <w:tcBorders>
              <w:left w:val="nil"/>
              <w:right w:val="nil"/>
            </w:tcBorders>
          </w:tcPr>
          <w:p w14:paraId="0AC27DEC" w14:textId="77777777" w:rsidR="00643609" w:rsidRDefault="000651AA">
            <w:pPr>
              <w:spacing w:after="0" w:line="240" w:lineRule="auto"/>
              <w:jc w:val="center"/>
            </w:pPr>
            <w:r>
              <w:rPr>
                <w:sz w:val="20"/>
              </w:rPr>
              <w:t>0</w:t>
            </w:r>
          </w:p>
        </w:tc>
      </w:tr>
      <w:tr w:rsidR="00643609" w14:paraId="7BAEC599" w14:textId="77777777">
        <w:trPr>
          <w:cantSplit/>
          <w:jc w:val="center"/>
        </w:trPr>
        <w:tc>
          <w:tcPr>
            <w:tcW w:w="3628" w:type="dxa"/>
            <w:tcBorders>
              <w:left w:val="nil"/>
              <w:right w:val="nil"/>
            </w:tcBorders>
          </w:tcPr>
          <w:p w14:paraId="68C0CA4A" w14:textId="77777777" w:rsidR="00643609" w:rsidRDefault="000651AA">
            <w:pPr>
              <w:spacing w:after="0" w:line="240" w:lineRule="auto"/>
            </w:pPr>
            <w:r>
              <w:rPr>
                <w:sz w:val="20"/>
              </w:rPr>
              <w:t>Consumo total de água (em m³)</w:t>
            </w:r>
          </w:p>
        </w:tc>
        <w:tc>
          <w:tcPr>
            <w:tcW w:w="1361" w:type="dxa"/>
            <w:tcBorders>
              <w:left w:val="nil"/>
              <w:right w:val="nil"/>
            </w:tcBorders>
          </w:tcPr>
          <w:p w14:paraId="471D63F5" w14:textId="77777777" w:rsidR="00643609" w:rsidRDefault="000651AA">
            <w:pPr>
              <w:spacing w:after="0" w:line="240" w:lineRule="auto"/>
              <w:jc w:val="center"/>
            </w:pPr>
            <w:r>
              <w:rPr>
                <w:sz w:val="20"/>
              </w:rPr>
              <w:t>151.001</w:t>
            </w:r>
          </w:p>
        </w:tc>
        <w:tc>
          <w:tcPr>
            <w:tcW w:w="1361" w:type="dxa"/>
            <w:tcBorders>
              <w:left w:val="nil"/>
              <w:right w:val="nil"/>
            </w:tcBorders>
          </w:tcPr>
          <w:p w14:paraId="4D907722" w14:textId="77777777" w:rsidR="00643609" w:rsidRDefault="000651AA">
            <w:pPr>
              <w:spacing w:after="0" w:line="240" w:lineRule="auto"/>
              <w:jc w:val="center"/>
            </w:pPr>
            <w:r>
              <w:rPr>
                <w:sz w:val="20"/>
              </w:rPr>
              <w:t>147.423</w:t>
            </w:r>
          </w:p>
        </w:tc>
        <w:tc>
          <w:tcPr>
            <w:tcW w:w="1361" w:type="dxa"/>
            <w:tcBorders>
              <w:left w:val="nil"/>
              <w:right w:val="nil"/>
            </w:tcBorders>
          </w:tcPr>
          <w:p w14:paraId="3A3737FB" w14:textId="77777777" w:rsidR="00643609" w:rsidRDefault="000651AA">
            <w:pPr>
              <w:spacing w:after="0" w:line="240" w:lineRule="auto"/>
              <w:jc w:val="center"/>
            </w:pPr>
            <w:r>
              <w:rPr>
                <w:sz w:val="20"/>
              </w:rPr>
              <w:t>130.169</w:t>
            </w:r>
          </w:p>
        </w:tc>
        <w:tc>
          <w:tcPr>
            <w:tcW w:w="1361" w:type="dxa"/>
            <w:tcBorders>
              <w:left w:val="nil"/>
              <w:right w:val="nil"/>
            </w:tcBorders>
          </w:tcPr>
          <w:p w14:paraId="736B6FD9" w14:textId="77777777" w:rsidR="00643609" w:rsidRDefault="000651AA">
            <w:pPr>
              <w:spacing w:after="0" w:line="240" w:lineRule="auto"/>
              <w:jc w:val="center"/>
            </w:pPr>
            <w:r>
              <w:rPr>
                <w:sz w:val="20"/>
              </w:rPr>
              <w:t>119.856</w:t>
            </w:r>
          </w:p>
        </w:tc>
      </w:tr>
      <w:tr w:rsidR="00643609" w14:paraId="32C39F7F" w14:textId="77777777">
        <w:trPr>
          <w:cantSplit/>
          <w:jc w:val="center"/>
        </w:trPr>
        <w:tc>
          <w:tcPr>
            <w:tcW w:w="3628" w:type="dxa"/>
            <w:tcBorders>
              <w:left w:val="nil"/>
              <w:right w:val="nil"/>
            </w:tcBorders>
          </w:tcPr>
          <w:p w14:paraId="7ADF82D4" w14:textId="77777777" w:rsidR="00643609" w:rsidRDefault="000651AA">
            <w:pPr>
              <w:spacing w:after="0" w:line="240" w:lineRule="auto"/>
            </w:pPr>
            <w:r>
              <w:rPr>
                <w:sz w:val="20"/>
              </w:rPr>
              <w:t xml:space="preserve">Consumo total de </w:t>
            </w:r>
            <w:r>
              <w:rPr>
                <w:sz w:val="20"/>
              </w:rPr>
              <w:t>água por empregado (em m³)</w:t>
            </w:r>
          </w:p>
        </w:tc>
        <w:tc>
          <w:tcPr>
            <w:tcW w:w="1361" w:type="dxa"/>
            <w:tcBorders>
              <w:left w:val="nil"/>
              <w:right w:val="nil"/>
            </w:tcBorders>
          </w:tcPr>
          <w:p w14:paraId="6BAAEFC8" w14:textId="77777777" w:rsidR="00643609" w:rsidRDefault="000651AA">
            <w:pPr>
              <w:spacing w:after="0" w:line="240" w:lineRule="auto"/>
              <w:jc w:val="center"/>
            </w:pPr>
            <w:r>
              <w:rPr>
                <w:sz w:val="20"/>
              </w:rPr>
              <w:t>40,7</w:t>
            </w:r>
          </w:p>
        </w:tc>
        <w:tc>
          <w:tcPr>
            <w:tcW w:w="1361" w:type="dxa"/>
            <w:tcBorders>
              <w:left w:val="nil"/>
              <w:right w:val="nil"/>
            </w:tcBorders>
            <w:shd w:val="clear" w:color="auto" w:fill="FFF2CC"/>
          </w:tcPr>
          <w:p w14:paraId="17BDB3BC" w14:textId="77777777" w:rsidR="00643609" w:rsidRDefault="000651AA">
            <w:pPr>
              <w:spacing w:after="0" w:line="240" w:lineRule="auto"/>
              <w:jc w:val="center"/>
            </w:pPr>
            <w:r>
              <w:rPr>
                <w:sz w:val="20"/>
              </w:rPr>
              <w:t>39</w:t>
            </w:r>
          </w:p>
        </w:tc>
        <w:tc>
          <w:tcPr>
            <w:tcW w:w="1361" w:type="dxa"/>
            <w:tcBorders>
              <w:left w:val="nil"/>
              <w:right w:val="nil"/>
            </w:tcBorders>
          </w:tcPr>
          <w:p w14:paraId="63A4F24F" w14:textId="77777777" w:rsidR="00643609" w:rsidRDefault="000651AA">
            <w:pPr>
              <w:spacing w:after="0" w:line="240" w:lineRule="auto"/>
              <w:jc w:val="center"/>
            </w:pPr>
            <w:r>
              <w:rPr>
                <w:sz w:val="20"/>
              </w:rPr>
              <w:t>34,61</w:t>
            </w:r>
          </w:p>
        </w:tc>
        <w:tc>
          <w:tcPr>
            <w:tcW w:w="1361" w:type="dxa"/>
            <w:tcBorders>
              <w:left w:val="nil"/>
              <w:right w:val="nil"/>
            </w:tcBorders>
          </w:tcPr>
          <w:p w14:paraId="49F0B7AF" w14:textId="77777777" w:rsidR="00643609" w:rsidRDefault="000651AA">
            <w:pPr>
              <w:spacing w:after="0" w:line="240" w:lineRule="auto"/>
              <w:jc w:val="center"/>
            </w:pPr>
            <w:r>
              <w:rPr>
                <w:sz w:val="20"/>
              </w:rPr>
              <w:t>30,3</w:t>
            </w:r>
          </w:p>
        </w:tc>
      </w:tr>
      <w:tr w:rsidR="00643609" w14:paraId="182F33D1" w14:textId="77777777">
        <w:trPr>
          <w:cantSplit/>
          <w:jc w:val="center"/>
        </w:trPr>
        <w:tc>
          <w:tcPr>
            <w:tcW w:w="3628" w:type="dxa"/>
            <w:tcBorders>
              <w:top w:val="single" w:sz="6" w:space="0" w:color="000000"/>
              <w:left w:val="nil"/>
              <w:bottom w:val="single" w:sz="6" w:space="0" w:color="000000"/>
              <w:right w:val="nil"/>
            </w:tcBorders>
            <w:shd w:val="clear" w:color="auto" w:fill="E7E6E6"/>
          </w:tcPr>
          <w:p w14:paraId="15CAACB2" w14:textId="77777777" w:rsidR="00643609" w:rsidRDefault="000651AA">
            <w:pPr>
              <w:spacing w:after="0" w:line="240" w:lineRule="auto"/>
            </w:pPr>
            <w:r>
              <w:rPr>
                <w:b/>
                <w:sz w:val="20"/>
              </w:rPr>
              <w:t>Geração de tratamento de efluentes</w:t>
            </w:r>
          </w:p>
        </w:tc>
        <w:tc>
          <w:tcPr>
            <w:tcW w:w="1361" w:type="dxa"/>
            <w:tcBorders>
              <w:top w:val="single" w:sz="6" w:space="0" w:color="000000"/>
              <w:left w:val="nil"/>
              <w:bottom w:val="single" w:sz="6" w:space="0" w:color="000000"/>
              <w:right w:val="nil"/>
            </w:tcBorders>
            <w:shd w:val="clear" w:color="auto" w:fill="E7E6E6"/>
          </w:tcPr>
          <w:p w14:paraId="1B4FEF2D" w14:textId="77777777" w:rsidR="00643609" w:rsidRDefault="000651AA">
            <w:pPr>
              <w:spacing w:after="0" w:line="240" w:lineRule="auto"/>
              <w:jc w:val="center"/>
            </w:pPr>
            <w:r>
              <w:rPr>
                <w:b/>
                <w:sz w:val="20"/>
              </w:rPr>
              <w:t>2023</w:t>
            </w:r>
          </w:p>
        </w:tc>
        <w:tc>
          <w:tcPr>
            <w:tcW w:w="1361" w:type="dxa"/>
            <w:tcBorders>
              <w:top w:val="single" w:sz="6" w:space="0" w:color="000000"/>
              <w:left w:val="nil"/>
              <w:bottom w:val="single" w:sz="6" w:space="0" w:color="000000"/>
              <w:right w:val="nil"/>
            </w:tcBorders>
            <w:shd w:val="clear" w:color="auto" w:fill="E7E6E6"/>
          </w:tcPr>
          <w:p w14:paraId="649741E6" w14:textId="77777777" w:rsidR="00643609" w:rsidRDefault="000651AA">
            <w:pPr>
              <w:spacing w:after="0" w:line="240" w:lineRule="auto"/>
              <w:jc w:val="center"/>
            </w:pPr>
            <w:r>
              <w:rPr>
                <w:b/>
                <w:sz w:val="20"/>
              </w:rPr>
              <w:t>2022</w:t>
            </w:r>
          </w:p>
        </w:tc>
        <w:tc>
          <w:tcPr>
            <w:tcW w:w="1361" w:type="dxa"/>
            <w:tcBorders>
              <w:top w:val="single" w:sz="6" w:space="0" w:color="000000"/>
              <w:left w:val="nil"/>
              <w:bottom w:val="single" w:sz="6" w:space="0" w:color="000000"/>
              <w:right w:val="nil"/>
            </w:tcBorders>
            <w:shd w:val="clear" w:color="auto" w:fill="E7E6E6"/>
          </w:tcPr>
          <w:p w14:paraId="19C8095F" w14:textId="77777777" w:rsidR="00643609" w:rsidRDefault="000651AA">
            <w:pPr>
              <w:spacing w:after="0" w:line="240" w:lineRule="auto"/>
              <w:jc w:val="center"/>
            </w:pPr>
            <w:r>
              <w:rPr>
                <w:b/>
                <w:sz w:val="20"/>
              </w:rPr>
              <w:t>2021</w:t>
            </w:r>
          </w:p>
        </w:tc>
        <w:tc>
          <w:tcPr>
            <w:tcW w:w="1361" w:type="dxa"/>
            <w:tcBorders>
              <w:top w:val="single" w:sz="6" w:space="0" w:color="000000"/>
              <w:left w:val="nil"/>
              <w:bottom w:val="single" w:sz="6" w:space="0" w:color="000000"/>
              <w:right w:val="nil"/>
            </w:tcBorders>
            <w:shd w:val="clear" w:color="auto" w:fill="E7E6E6"/>
          </w:tcPr>
          <w:p w14:paraId="2A1C3BCF" w14:textId="77777777" w:rsidR="00643609" w:rsidRDefault="000651AA">
            <w:pPr>
              <w:spacing w:after="0" w:line="240" w:lineRule="auto"/>
              <w:jc w:val="center"/>
            </w:pPr>
            <w:r>
              <w:rPr>
                <w:b/>
                <w:sz w:val="20"/>
              </w:rPr>
              <w:t>2020</w:t>
            </w:r>
          </w:p>
        </w:tc>
      </w:tr>
      <w:tr w:rsidR="00643609" w14:paraId="34AD112A" w14:textId="77777777">
        <w:trPr>
          <w:cantSplit/>
          <w:jc w:val="center"/>
        </w:trPr>
        <w:tc>
          <w:tcPr>
            <w:tcW w:w="3628" w:type="dxa"/>
            <w:tcBorders>
              <w:left w:val="nil"/>
              <w:right w:val="nil"/>
            </w:tcBorders>
          </w:tcPr>
          <w:p w14:paraId="65E39491" w14:textId="77777777" w:rsidR="00643609" w:rsidRDefault="000651AA">
            <w:pPr>
              <w:spacing w:after="0" w:line="240" w:lineRule="auto"/>
            </w:pPr>
            <w:r>
              <w:rPr>
                <w:sz w:val="20"/>
              </w:rPr>
              <w:t>Descarte total de águas sanitárias (m³)</w:t>
            </w:r>
          </w:p>
        </w:tc>
        <w:tc>
          <w:tcPr>
            <w:tcW w:w="1361" w:type="dxa"/>
            <w:tcBorders>
              <w:left w:val="nil"/>
              <w:right w:val="nil"/>
            </w:tcBorders>
          </w:tcPr>
          <w:p w14:paraId="66C76EFE" w14:textId="77777777" w:rsidR="00643609" w:rsidRDefault="000651AA">
            <w:pPr>
              <w:spacing w:after="0" w:line="240" w:lineRule="auto"/>
              <w:jc w:val="center"/>
            </w:pPr>
            <w:r>
              <w:rPr>
                <w:sz w:val="20"/>
              </w:rPr>
              <w:t>120.800,80</w:t>
            </w:r>
          </w:p>
        </w:tc>
        <w:tc>
          <w:tcPr>
            <w:tcW w:w="1361" w:type="dxa"/>
            <w:tcBorders>
              <w:left w:val="nil"/>
              <w:right w:val="nil"/>
            </w:tcBorders>
            <w:shd w:val="clear" w:color="auto" w:fill="FFF2CC"/>
          </w:tcPr>
          <w:p w14:paraId="0BF9EAD5" w14:textId="77777777" w:rsidR="00643609" w:rsidRDefault="000651AA">
            <w:pPr>
              <w:spacing w:after="0" w:line="240" w:lineRule="auto"/>
              <w:jc w:val="center"/>
            </w:pPr>
            <w:r>
              <w:rPr>
                <w:sz w:val="20"/>
              </w:rPr>
              <w:t>86.208</w:t>
            </w:r>
          </w:p>
        </w:tc>
        <w:tc>
          <w:tcPr>
            <w:tcW w:w="1361" w:type="dxa"/>
            <w:tcBorders>
              <w:left w:val="nil"/>
              <w:right w:val="nil"/>
            </w:tcBorders>
          </w:tcPr>
          <w:p w14:paraId="0DB297B7" w14:textId="77777777" w:rsidR="00643609" w:rsidRDefault="000651AA">
            <w:pPr>
              <w:spacing w:after="0" w:line="240" w:lineRule="auto"/>
              <w:jc w:val="center"/>
            </w:pPr>
            <w:r>
              <w:rPr>
                <w:sz w:val="20"/>
              </w:rPr>
              <w:t>95.495,20</w:t>
            </w:r>
          </w:p>
        </w:tc>
        <w:tc>
          <w:tcPr>
            <w:tcW w:w="1361" w:type="dxa"/>
            <w:tcBorders>
              <w:left w:val="nil"/>
              <w:right w:val="nil"/>
            </w:tcBorders>
          </w:tcPr>
          <w:p w14:paraId="17731303" w14:textId="77777777" w:rsidR="00643609" w:rsidRDefault="000651AA">
            <w:pPr>
              <w:spacing w:after="0" w:line="240" w:lineRule="auto"/>
              <w:jc w:val="center"/>
            </w:pPr>
            <w:r>
              <w:rPr>
                <w:sz w:val="20"/>
              </w:rPr>
              <w:t>95.884,80</w:t>
            </w:r>
          </w:p>
        </w:tc>
      </w:tr>
      <w:tr w:rsidR="00643609" w14:paraId="1B448306" w14:textId="77777777">
        <w:trPr>
          <w:cantSplit/>
          <w:jc w:val="center"/>
        </w:trPr>
        <w:tc>
          <w:tcPr>
            <w:tcW w:w="3628" w:type="dxa"/>
            <w:tcBorders>
              <w:left w:val="nil"/>
              <w:bottom w:val="single" w:sz="6" w:space="0" w:color="000000"/>
              <w:right w:val="nil"/>
            </w:tcBorders>
          </w:tcPr>
          <w:p w14:paraId="6E783F23" w14:textId="77777777" w:rsidR="00643609" w:rsidRDefault="000651AA">
            <w:pPr>
              <w:spacing w:after="0" w:line="240" w:lineRule="auto"/>
            </w:pPr>
            <w:r>
              <w:rPr>
                <w:sz w:val="20"/>
              </w:rPr>
              <w:t>Percentual de efluentes submetidos a tratamento</w:t>
            </w:r>
          </w:p>
        </w:tc>
        <w:tc>
          <w:tcPr>
            <w:tcW w:w="1361" w:type="dxa"/>
            <w:tcBorders>
              <w:left w:val="nil"/>
              <w:bottom w:val="single" w:sz="6" w:space="0" w:color="000000"/>
              <w:right w:val="nil"/>
            </w:tcBorders>
          </w:tcPr>
          <w:p w14:paraId="161B1B7A" w14:textId="77777777" w:rsidR="00643609" w:rsidRDefault="000651AA">
            <w:pPr>
              <w:spacing w:after="0" w:line="240" w:lineRule="auto"/>
              <w:jc w:val="center"/>
            </w:pPr>
            <w:r>
              <w:rPr>
                <w:sz w:val="20"/>
              </w:rPr>
              <w:t>100%</w:t>
            </w:r>
          </w:p>
        </w:tc>
        <w:tc>
          <w:tcPr>
            <w:tcW w:w="1361" w:type="dxa"/>
            <w:tcBorders>
              <w:left w:val="nil"/>
              <w:bottom w:val="single" w:sz="6" w:space="0" w:color="000000"/>
              <w:right w:val="nil"/>
            </w:tcBorders>
          </w:tcPr>
          <w:p w14:paraId="28F9D13E" w14:textId="77777777" w:rsidR="00643609" w:rsidRDefault="000651AA">
            <w:pPr>
              <w:spacing w:after="0" w:line="240" w:lineRule="auto"/>
              <w:jc w:val="center"/>
            </w:pPr>
            <w:r>
              <w:rPr>
                <w:sz w:val="20"/>
              </w:rPr>
              <w:t>100%</w:t>
            </w:r>
          </w:p>
        </w:tc>
        <w:tc>
          <w:tcPr>
            <w:tcW w:w="1361" w:type="dxa"/>
            <w:tcBorders>
              <w:left w:val="nil"/>
              <w:bottom w:val="single" w:sz="6" w:space="0" w:color="000000"/>
              <w:right w:val="nil"/>
            </w:tcBorders>
          </w:tcPr>
          <w:p w14:paraId="12DCFAAA" w14:textId="77777777" w:rsidR="00643609" w:rsidRDefault="000651AA">
            <w:pPr>
              <w:spacing w:after="0" w:line="240" w:lineRule="auto"/>
              <w:jc w:val="center"/>
            </w:pPr>
            <w:r>
              <w:rPr>
                <w:sz w:val="20"/>
              </w:rPr>
              <w:t>100%</w:t>
            </w:r>
          </w:p>
        </w:tc>
        <w:tc>
          <w:tcPr>
            <w:tcW w:w="1361" w:type="dxa"/>
            <w:tcBorders>
              <w:left w:val="nil"/>
              <w:bottom w:val="single" w:sz="6" w:space="0" w:color="000000"/>
              <w:right w:val="nil"/>
            </w:tcBorders>
          </w:tcPr>
          <w:p w14:paraId="4288F5A5" w14:textId="77777777" w:rsidR="00643609" w:rsidRDefault="000651AA">
            <w:pPr>
              <w:spacing w:after="0" w:line="240" w:lineRule="auto"/>
              <w:jc w:val="center"/>
            </w:pPr>
            <w:r>
              <w:rPr>
                <w:sz w:val="20"/>
              </w:rPr>
              <w:t>100%</w:t>
            </w:r>
          </w:p>
        </w:tc>
      </w:tr>
    </w:tbl>
    <w:p w14:paraId="2E634CFB" w14:textId="77777777" w:rsidR="00643609" w:rsidRDefault="00643609">
      <w:pPr>
        <w:spacing w:after="0" w:line="240" w:lineRule="auto"/>
      </w:pPr>
    </w:p>
    <w:p w14:paraId="328CFDD2" w14:textId="77777777" w:rsidR="00643609" w:rsidRDefault="000651AA">
      <w:pPr>
        <w:spacing w:after="240" w:line="240" w:lineRule="auto"/>
      </w:pPr>
      <w:r>
        <w:rPr>
          <w:sz w:val="20"/>
        </w:rPr>
        <w:t>Fonte: Relatórios Anuais de Responsabilidade Socioambiental (2020; 2023)</w:t>
      </w:r>
    </w:p>
    <w:p w14:paraId="65F22373" w14:textId="77777777" w:rsidR="00643609" w:rsidRDefault="000651AA" w:rsidP="00AB5F50">
      <w:pPr>
        <w:spacing w:after="0" w:line="360" w:lineRule="auto"/>
        <w:ind w:firstLine="720"/>
        <w:jc w:val="both"/>
      </w:pPr>
      <w:r>
        <w:t>O maior volume de efluentes gerado pela CEMIG provém das instalações sanitárias e usos operacionais. A quantidade de resíduos descartados aumentou de 2020 a 2023. A Companhia consider</w:t>
      </w:r>
      <w:r>
        <w:t>a que 80% da água consumida tornam-se efluentes, portanto, em 2023 foram descartados 120.800,80 m³ de efluentes, maior do que em 2022, 2021 e 2020. Na CEMIG, 100% dos efluentes gerados são tratados, uma parte pelo sistema público e a outra parte por meio d</w:t>
      </w:r>
      <w:r>
        <w:t>e tanques sépticos (Relatório Anual de Responsabilidade Socioambiental CEMIG D, 2023).</w:t>
      </w:r>
    </w:p>
    <w:p w14:paraId="1546DB88" w14:textId="77777777" w:rsidR="00643609" w:rsidRDefault="000651AA" w:rsidP="00AB5F50">
      <w:pPr>
        <w:spacing w:after="0" w:line="360" w:lineRule="auto"/>
        <w:ind w:firstLine="720"/>
        <w:jc w:val="both"/>
      </w:pPr>
      <w:r>
        <w:t>A água consumida pela CEMIG é utilizada tanto no processo de construção quanto na geração de tratamento de efluentes. Com o tratamento desses resíduos, o impacto causado</w:t>
      </w:r>
      <w:r>
        <w:t xml:space="preserve"> no meio ambiente é menor comparado ao descarte de efluentes sem tratamento (Relatório Anual de Responsabilidade Socioambiental CEMIG D, 2023).</w:t>
      </w:r>
    </w:p>
    <w:p w14:paraId="5A60A155" w14:textId="77777777" w:rsidR="00643609" w:rsidRDefault="000651AA" w:rsidP="00AB5F50">
      <w:pPr>
        <w:spacing w:after="0" w:line="360" w:lineRule="auto"/>
        <w:ind w:firstLine="720"/>
        <w:jc w:val="both"/>
      </w:pPr>
      <w:r>
        <w:rPr>
          <w:b/>
        </w:rPr>
        <w:t>4.6 Gestão de materiais de resíduos</w:t>
      </w:r>
    </w:p>
    <w:p w14:paraId="481A2B2C" w14:textId="77777777" w:rsidR="00643609" w:rsidRDefault="000651AA" w:rsidP="00AB5F50">
      <w:pPr>
        <w:spacing w:after="0" w:line="360" w:lineRule="auto"/>
        <w:ind w:firstLine="720"/>
        <w:jc w:val="both"/>
      </w:pPr>
      <w:r>
        <w:t>A CEMIG opera matérias de resíduos como os isoladores, sucatas, cabos e fios</w:t>
      </w:r>
      <w:r>
        <w:t>, materiais transformadores são os mais comuns retirados da empresa. A Cemig implantou o controle de resíduos via SAP-R3, com o objetivo de assegurar maior rastreabilidade e disponibilidade dos dados de geração e destinação de resíduos dado por meio de ali</w:t>
      </w:r>
      <w:r>
        <w:t xml:space="preserve">enação, aterro sanitário, processamento, incineração, </w:t>
      </w:r>
      <w:r>
        <w:lastRenderedPageBreak/>
        <w:t>reciclagem, regeneração do óleo, reutilização, terreninho (Relatório Anual de Responsabilidade Socioambiental CEMIG D, 2023).</w:t>
      </w:r>
    </w:p>
    <w:p w14:paraId="2EF7030A" w14:textId="77777777" w:rsidR="00643609" w:rsidRDefault="000651AA" w:rsidP="00AB5F50">
      <w:pPr>
        <w:spacing w:after="0" w:line="360" w:lineRule="auto"/>
        <w:ind w:firstLine="720"/>
        <w:jc w:val="both"/>
      </w:pPr>
      <w:r>
        <w:t>Anualmente, divulga sua emissão de Gases de Efeito Estufa (GEE) com os parâm</w:t>
      </w:r>
      <w:r>
        <w:t>etros de cálculo estabelecidos pelo Programa Brasileiro GHG Protocol. O monitoramento dos resultados é essencial para gerenciar os riscos e analisar as oportunidades a respeito das emissões da entidade. Além do mais, o monitoramento é fundamental para esta</w:t>
      </w:r>
      <w:r>
        <w:t>belecer novas metas de redução, sistematizar as ações de monitoramento e de mitigação. A CEMIG adota as definições dos Escopos 1, 2 e 3, de acordo com o GHG Protocol (CEMIG D, 2023):</w:t>
      </w:r>
    </w:p>
    <w:p w14:paraId="553C581F" w14:textId="77777777" w:rsidR="00643609" w:rsidRDefault="000651AA" w:rsidP="00AB5F50">
      <w:pPr>
        <w:spacing w:after="0" w:line="360" w:lineRule="auto"/>
        <w:ind w:firstLine="720"/>
        <w:jc w:val="both"/>
      </w:pPr>
      <w:r>
        <w:t>a) Escopo 1: emissões diretas;</w:t>
      </w:r>
    </w:p>
    <w:p w14:paraId="070D6DAA" w14:textId="77777777" w:rsidR="00643609" w:rsidRDefault="000651AA" w:rsidP="00AB5F50">
      <w:pPr>
        <w:spacing w:after="0" w:line="360" w:lineRule="auto"/>
        <w:ind w:firstLine="720"/>
        <w:jc w:val="both"/>
      </w:pPr>
      <w:r>
        <w:t>b) Escopo 2: emissões provenientes do cons</w:t>
      </w:r>
      <w:r>
        <w:t>umo de energia elétrica e de perdas na transmissão e distribuição de energia;</w:t>
      </w:r>
    </w:p>
    <w:p w14:paraId="2934C26A" w14:textId="77777777" w:rsidR="00643609" w:rsidRDefault="000651AA" w:rsidP="00AB5F50">
      <w:pPr>
        <w:spacing w:after="0" w:line="360" w:lineRule="auto"/>
        <w:ind w:firstLine="720"/>
        <w:jc w:val="both"/>
      </w:pPr>
      <w:r>
        <w:t>c) Escopo 3: emissões indiretas (Relatório Anual de Responsabilidade Socioambiental; 2023);</w:t>
      </w:r>
    </w:p>
    <w:p w14:paraId="68132410" w14:textId="77777777" w:rsidR="00643609" w:rsidRDefault="000651AA" w:rsidP="00AB5F50">
      <w:pPr>
        <w:spacing w:after="0" w:line="360" w:lineRule="auto"/>
        <w:ind w:firstLine="720"/>
        <w:jc w:val="both"/>
      </w:pPr>
      <w:r>
        <w:t>Em 2023, as emissões diretas resultantes das operações do Escopo 1, a CEMIG gerou 10.6</w:t>
      </w:r>
      <w:r>
        <w:t>00,31 tCO2e, o que representa uma redução de 16,05% quando comparado ao ano anterior. Pelo consumo de eletricidade e perdas na distribuição (Escopo 2), a Companhia emitiu 304.504,89 tCO2e, um aumento de 6,90% comparado a 2022. Considerando todas as categor</w:t>
      </w:r>
      <w:r>
        <w:t>ias do escopo 3, as emissões totalizaram 1.198.101,79 tCO2e, uma redução de 45,06% em relação a 2022 (Relatório Anual de Responsabilidade Socioambiental CEMIG D, 2023).</w:t>
      </w:r>
    </w:p>
    <w:p w14:paraId="415B658F" w14:textId="77777777" w:rsidR="00643609" w:rsidRDefault="000651AA" w:rsidP="00AB5F50">
      <w:pPr>
        <w:spacing w:after="0" w:line="360" w:lineRule="auto"/>
        <w:ind w:firstLine="720"/>
        <w:jc w:val="both"/>
      </w:pPr>
      <w:r>
        <w:t>Após as análises de resultados dos Relatórios Socioambientais da CEMIG no período de 20</w:t>
      </w:r>
      <w:r>
        <w:t xml:space="preserve">20 a 2023, pode-se observar que a empresa publicou ao longo desse período relatórios, através de indicadores que permitiram uma análise sintetizada das condições ambientais de investimentos e transparências aos seus resultados. Entretanto, para se ter uma </w:t>
      </w:r>
      <w:r>
        <w:t>Contabilidade Sócio-Ambiental com uma maior amplitude de gestão e governança, são necessárias informações capazes de atender a todos os públicos de uma forma geral, desde o ambientalista, stakeholders e gestores governamentais. Atribuindo ainda mais, a imp</w:t>
      </w:r>
      <w:r>
        <w:t>ortância de relatórios que possam contribuir para o desenvolvimento de uma região, situada a empresa, e assim como, atender os requisitos das ODS’s.</w:t>
      </w:r>
    </w:p>
    <w:p w14:paraId="6A54006E" w14:textId="77777777" w:rsidR="00643609" w:rsidRDefault="000651AA" w:rsidP="00AB5F50">
      <w:pPr>
        <w:spacing w:after="0" w:line="360" w:lineRule="auto"/>
        <w:ind w:firstLine="720"/>
        <w:jc w:val="both"/>
      </w:pPr>
      <w:r>
        <w:rPr>
          <w:b/>
        </w:rPr>
        <w:t>5. CONSIDERAÇÕES FINAIS</w:t>
      </w:r>
    </w:p>
    <w:p w14:paraId="33A161DD" w14:textId="77777777" w:rsidR="00643609" w:rsidRDefault="000651AA" w:rsidP="00AB5F50">
      <w:pPr>
        <w:spacing w:after="0" w:line="360" w:lineRule="auto"/>
        <w:ind w:firstLine="720"/>
        <w:jc w:val="both"/>
      </w:pPr>
      <w:r>
        <w:t>O estudo teve como objetivo geral a análise dos indicadores de desenvolvimento sust</w:t>
      </w:r>
      <w:r>
        <w:t xml:space="preserve">entável e de impactos ambientais da CEMIG no período de </w:t>
      </w:r>
      <w:r>
        <w:lastRenderedPageBreak/>
        <w:t xml:space="preserve">2020 a 2023, buscando uma comparação evolutiva de investimentos proporcionados pela empresa para o desenvolvimento sustentável e reduções nos impactos ambientais. Além disso, buscou identificar quais </w:t>
      </w:r>
      <w:r>
        <w:t>indicadores ambientais foram especificados nos relatórios e comparou a evolução desses indicadores ao longo do período de 2020 a 2023. A companhia propôs aperfeiçoar e melhorar seu desenvolvimento sustentável e ambiental ao longo desses quatro anos. O prop</w:t>
      </w:r>
      <w:r>
        <w:t>ósito da entidade esteve alinhado com a evolução dos Relatórios de Responsabilidade Socioambiental.</w:t>
      </w:r>
    </w:p>
    <w:p w14:paraId="51343653" w14:textId="77777777" w:rsidR="00643609" w:rsidRDefault="000651AA" w:rsidP="00AB5F50">
      <w:pPr>
        <w:spacing w:after="0" w:line="360" w:lineRule="auto"/>
        <w:ind w:firstLine="720"/>
        <w:jc w:val="both"/>
      </w:pPr>
      <w:r>
        <w:t>A pesquisa apresentou os conceitos de Contabilidade Ambiental, Sustentabilidade e Desenvolvimento Sustentável, juntamente com estudos anteriores, para escla</w:t>
      </w:r>
      <w:r>
        <w:t>recer esses conceitos. Assim como, apresentou os indicadores ambientais, capazes de mostrar os dados presentes nos Relatórios Anuais de Responsabilidade Socioambiental da CEMIG. Os resultados apresentados pelos Relatórios Anuais de Responsabilidade Socioam</w:t>
      </w:r>
      <w:r>
        <w:t>biental demonstraram os indicadores ambientais, mas sem detalhamento das informações. Quanto às limitações, pode-se afirmar que a falta de detalhamento dos indicadores ambientais foi um ponto importante, uma vez que os Relatórios Socioambientais fornecem p</w:t>
      </w:r>
      <w:r>
        <w:t>oucas informações sobre esses indicadores, os quais poderiam ser mais explorados em outras empresas do setor elétrico. Apesar disso, os indicadores apresentados nos relatórios da CEMIG permitiram uma comparação útil dos dados de 2020 a 2023.</w:t>
      </w:r>
    </w:p>
    <w:p w14:paraId="5B14DC3A" w14:textId="77777777" w:rsidR="00643609" w:rsidRDefault="000651AA" w:rsidP="00AB5F50">
      <w:pPr>
        <w:spacing w:after="0" w:line="360" w:lineRule="auto"/>
        <w:ind w:firstLine="720"/>
        <w:jc w:val="both"/>
      </w:pPr>
      <w:r>
        <w:t xml:space="preserve">Embora faltem </w:t>
      </w:r>
      <w:r>
        <w:t>demonstrativos contábeis detalhados, a CEMIG avançou na área da sustentabilidade ambiental. Os dados apresentados pelos indicadores ambientais mostraram um aumento no processo de desenvolvimento sustentável, destacando a responsabilidade da empresa no dese</w:t>
      </w:r>
      <w:r>
        <w:t>nvolvimento e no combate às mudanças climáticas.</w:t>
      </w:r>
    </w:p>
    <w:p w14:paraId="4A518140" w14:textId="77777777" w:rsidR="00643609" w:rsidRDefault="000651AA" w:rsidP="00AB5F50">
      <w:pPr>
        <w:spacing w:after="0" w:line="360" w:lineRule="auto"/>
        <w:ind w:firstLine="720"/>
        <w:jc w:val="both"/>
      </w:pPr>
      <w:r>
        <w:t>Os resultados da pesquisa ficaram limitados em 2020 devido à pandemia de COVID-19, que afetou as ações da companhia. Outra limitação é a falta de detalhamento dos indicadores ambientais, uma vez que os Relat</w:t>
      </w:r>
      <w:r>
        <w:t>órios Socioambientais trazem poucas informações sobre esses indicadores, que poderiam ser mais explorados em outras empresas do setor elétrico.</w:t>
      </w:r>
    </w:p>
    <w:p w14:paraId="33D84878" w14:textId="1A8A747A" w:rsidR="00643609" w:rsidRDefault="000651AA" w:rsidP="00AB5F50">
      <w:pPr>
        <w:spacing w:after="0" w:line="360" w:lineRule="auto"/>
        <w:ind w:firstLine="720"/>
        <w:jc w:val="both"/>
      </w:pPr>
      <w:r>
        <w:t>Para futuras pesquisas, recomenda-se um estudo detalhado desses indicadores ambientais em empresas do setor elét</w:t>
      </w:r>
      <w:r>
        <w:t xml:space="preserve">rico nos municípios de Minas Gerais nos próximos anos. Esse estudo poderia evidenciar melhorias na divulgação </w:t>
      </w:r>
      <w:r>
        <w:lastRenderedPageBreak/>
        <w:t>dos relatórios, com informações mais específicas, além de buscar estabelecer, junto ao governo brasileiro, a capacidade das empresas de gerar bene</w:t>
      </w:r>
      <w:r>
        <w:t>fícios sustentáveis em prol da sociedade.</w:t>
      </w:r>
    </w:p>
    <w:p w14:paraId="4CA32A96" w14:textId="77777777" w:rsidR="00AB5F50" w:rsidRDefault="00AB5F50" w:rsidP="00AB5F50">
      <w:pPr>
        <w:spacing w:after="0" w:line="360" w:lineRule="auto"/>
        <w:ind w:firstLine="720"/>
        <w:jc w:val="both"/>
      </w:pPr>
    </w:p>
    <w:p w14:paraId="0B6103BB" w14:textId="77777777" w:rsidR="00643609" w:rsidRDefault="000651AA">
      <w:pPr>
        <w:spacing w:after="240" w:line="240" w:lineRule="auto"/>
      </w:pPr>
      <w:r>
        <w:rPr>
          <w:b/>
        </w:rPr>
        <w:t>REFERÊNCIAS</w:t>
      </w:r>
    </w:p>
    <w:p w14:paraId="23D8D222" w14:textId="77777777" w:rsidR="00643609" w:rsidRDefault="000651AA">
      <w:pPr>
        <w:spacing w:after="240" w:line="240" w:lineRule="auto"/>
      </w:pPr>
      <w:r>
        <w:t>BANDEIRA, Leonardo dos Santos; SOUZA, Diogo Douglas Gomes; SANTOS, Joana Andreia da Silva. Reflexos Econômico-Financeiros nas companhias responsabilizadas pela ocorrência de desastres ambientais.</w:t>
      </w:r>
      <w:r>
        <w:rPr>
          <w:b/>
        </w:rPr>
        <w:t xml:space="preserve"> Contex</w:t>
      </w:r>
      <w:r>
        <w:rPr>
          <w:b/>
        </w:rPr>
        <w:t>to -Contabilidade em Texto</w:t>
      </w:r>
      <w:r>
        <w:t>, Porto Alegre, v. 22, n. 50, p. 48–62, 2022. Disponível em: https://seer.ufrgs.br/index.php/ConTexto/article/view/122313. Acesso em: 21 ago. 2024.</w:t>
      </w:r>
    </w:p>
    <w:p w14:paraId="50023AD7" w14:textId="77777777" w:rsidR="00643609" w:rsidRDefault="000651AA">
      <w:pPr>
        <w:spacing w:after="240" w:line="240" w:lineRule="auto"/>
      </w:pPr>
      <w:r>
        <w:t>BENEDUZI, João Pedro.</w:t>
      </w:r>
      <w:r>
        <w:rPr>
          <w:b/>
        </w:rPr>
        <w:t xml:space="preserve"> Análise da contabilidade ambiental das corporações listadas </w:t>
      </w:r>
      <w:r>
        <w:rPr>
          <w:b/>
        </w:rPr>
        <w:t>na B3</w:t>
      </w:r>
      <w:r>
        <w:t>. Monografia (Graduação em Ciências Contábeis) – Universidade do Vale do Taquari - Univates, Lajeado, 2023. Disponível em: https://www.univates.br/bduserver/api/core/bitstreams/cd6af7fe-00ad-4ade-a607-6684aa3a3ed0/content. Acesso em: 21 jul. 2024.</w:t>
      </w:r>
    </w:p>
    <w:p w14:paraId="009837CE" w14:textId="77777777" w:rsidR="00643609" w:rsidRDefault="000651AA">
      <w:pPr>
        <w:spacing w:after="240" w:line="240" w:lineRule="auto"/>
      </w:pPr>
      <w:r>
        <w:t>BES</w:t>
      </w:r>
      <w:r>
        <w:t>KOW, Eduardo; MATTEI, Lauro. Notas sobre a trajetória da questão ambiental e principais temas em debate na conferência Rio+ 20.</w:t>
      </w:r>
      <w:r>
        <w:rPr>
          <w:b/>
        </w:rPr>
        <w:t xml:space="preserve"> Revista NECAT-Revista do Núcleo de Estudos de Economia Catarinense</w:t>
      </w:r>
      <w:r>
        <w:t xml:space="preserve">, Florianópolis, v. 1, n. 2, p. 4-12, 2012. </w:t>
      </w:r>
      <w:r>
        <w:t>Disponível em: https://necat.paginas.ufsc.br/files/2012/08/Revista-NECAT-ed2.pdf. Acesso em: 27 jul. 2024.</w:t>
      </w:r>
    </w:p>
    <w:p w14:paraId="6AA18A50" w14:textId="77777777" w:rsidR="00643609" w:rsidRDefault="000651AA">
      <w:pPr>
        <w:spacing w:after="240" w:line="240" w:lineRule="auto"/>
      </w:pPr>
      <w:r>
        <w:t>BRASIL. Lei n ° 9.795 de 27 de abril de 1999.</w:t>
      </w:r>
      <w:r>
        <w:rPr>
          <w:b/>
        </w:rPr>
        <w:t xml:space="preserve"> Lei de Educação Ambiental; Brasília: Presidência da República,</w:t>
      </w:r>
      <w:r>
        <w:t xml:space="preserve"> 1999. Disponível em: https://www.planalt</w:t>
      </w:r>
      <w:r>
        <w:t>o.gov.br/ccivil_03/leis/l9795.htm. Acesso em: 24 mar. 2024.</w:t>
      </w:r>
    </w:p>
    <w:p w14:paraId="52440CE8" w14:textId="77777777" w:rsidR="00643609" w:rsidRDefault="000651AA">
      <w:pPr>
        <w:spacing w:after="240" w:line="240" w:lineRule="auto"/>
      </w:pPr>
      <w:r>
        <w:t>CARVALHO, Jean.</w:t>
      </w:r>
      <w:r>
        <w:rPr>
          <w:b/>
        </w:rPr>
        <w:t xml:space="preserve"> Contabilidade ambiental teoria e prática</w:t>
      </w:r>
      <w:r>
        <w:t>. 2. ed. São Paulo: Saraiva, 2011.</w:t>
      </w:r>
    </w:p>
    <w:p w14:paraId="17B01087" w14:textId="77777777" w:rsidR="00643609" w:rsidRDefault="000651AA">
      <w:pPr>
        <w:spacing w:after="240" w:line="240" w:lineRule="auto"/>
      </w:pPr>
      <w:r>
        <w:t>CEMIG. Relatório Anual de Responsabilidade Socioambiental, 2020. Juiz de Fora:</w:t>
      </w:r>
      <w:r>
        <w:rPr>
          <w:b/>
        </w:rPr>
        <w:t xml:space="preserve"> CEMIG,</w:t>
      </w:r>
      <w:r>
        <w:t xml:space="preserve"> 2021. Disponível em</w:t>
      </w:r>
      <w:r>
        <w:t>: https://www.cemig.com.br/relatorios/sustentabilidade/relatorio-anual-de-responsabilidade-socioambiental-das-empresas-de-energia-eletrica/ Acesso em: 13 jan. 2025</w:t>
      </w:r>
    </w:p>
    <w:p w14:paraId="5876C244" w14:textId="77777777" w:rsidR="00643609" w:rsidRDefault="000651AA">
      <w:pPr>
        <w:spacing w:after="240" w:line="240" w:lineRule="auto"/>
      </w:pPr>
      <w:r>
        <w:t>CEMIG. Relatório Anual de Responsabilidade Socioambiental, 2021. Juiz de Fora:</w:t>
      </w:r>
      <w:r>
        <w:rPr>
          <w:b/>
        </w:rPr>
        <w:t xml:space="preserve"> CEMIG,</w:t>
      </w:r>
      <w:r>
        <w:t xml:space="preserve"> 2022. </w:t>
      </w:r>
      <w:r>
        <w:t>Disponível em: https://www.cemig.com.br/relatorios/sustentabilidade/relatorio-anual-de-responsabilidade-socioambiental-das-empresas-de-energia-eletrica/ Acesso em: 13 jan.2025</w:t>
      </w:r>
    </w:p>
    <w:p w14:paraId="5F077F85" w14:textId="77777777" w:rsidR="00643609" w:rsidRDefault="000651AA">
      <w:pPr>
        <w:spacing w:after="240" w:line="240" w:lineRule="auto"/>
      </w:pPr>
      <w:r>
        <w:t>CEMIG. Relatório Anual de Responsabilidade Socioambiental, 2022. Juiz de Fora:</w:t>
      </w:r>
      <w:r>
        <w:rPr>
          <w:b/>
        </w:rPr>
        <w:t xml:space="preserve"> C</w:t>
      </w:r>
      <w:r>
        <w:rPr>
          <w:b/>
        </w:rPr>
        <w:t>EMIG,</w:t>
      </w:r>
      <w:r>
        <w:t xml:space="preserve"> 2023. Disponível em: https://www.cemig.com.br/relatorios/sustentabilidade/relatorio-anual-de-responsabilidade-socioambiental-das-empresas-de-energia-eletrica/ Acesso em: 13 jan. 2025</w:t>
      </w:r>
    </w:p>
    <w:p w14:paraId="3DB402D5" w14:textId="77777777" w:rsidR="00643609" w:rsidRDefault="000651AA">
      <w:pPr>
        <w:spacing w:after="240" w:line="240" w:lineRule="auto"/>
      </w:pPr>
      <w:r>
        <w:lastRenderedPageBreak/>
        <w:t>CEMIG. Relatório Anual de Responsabilidade Socioambiental, 2023. Ju</w:t>
      </w:r>
      <w:r>
        <w:t>iz de Fora:</w:t>
      </w:r>
      <w:r>
        <w:rPr>
          <w:b/>
        </w:rPr>
        <w:t xml:space="preserve"> CEMIG</w:t>
      </w:r>
      <w:r>
        <w:t>, 2024. Disponível em: https://www.cemig.com.br/relatorios/sustentabilidade/relatorio-anual-de-responsabilidade-socioambiental-das-empresas-de-energia-eletrica/ Acesso em: 13 jan. 2025</w:t>
      </w:r>
    </w:p>
    <w:p w14:paraId="3DDD8656" w14:textId="77777777" w:rsidR="00643609" w:rsidRDefault="000651AA">
      <w:pPr>
        <w:spacing w:after="240" w:line="240" w:lineRule="auto"/>
      </w:pPr>
      <w:r>
        <w:t xml:space="preserve">COMISSÃO MUNDIAL SOBRE MEIO AMBIENTE E </w:t>
      </w:r>
      <w:r>
        <w:t>DESENVOLVIMENTO (CMMAD).</w:t>
      </w:r>
      <w:r>
        <w:rPr>
          <w:b/>
        </w:rPr>
        <w:t xml:space="preserve"> Nosso futuro comum</w:t>
      </w:r>
      <w:r>
        <w:t>. Rio de Janeiro: Fundação Getúlio Vargas, 1988.</w:t>
      </w:r>
    </w:p>
    <w:p w14:paraId="76776CBA" w14:textId="77777777" w:rsidR="00643609" w:rsidRDefault="000651AA">
      <w:pPr>
        <w:spacing w:after="240" w:line="240" w:lineRule="auto"/>
      </w:pPr>
      <w:r>
        <w:t>CONCEIÇÃO, Fernando; FINHANI, Gislaine Aparecida; ALONSO JUNIOR, Nelson. Contabilidade Ambiental.</w:t>
      </w:r>
      <w:r>
        <w:rPr>
          <w:b/>
        </w:rPr>
        <w:t xml:space="preserve"> Congresso SEGT XI Simpósio de Excelência em Gestão e Tecnologia</w:t>
      </w:r>
      <w:r>
        <w:t>, 2</w:t>
      </w:r>
      <w:r>
        <w:t>024. Disponível em: https://www.aedb.br/seget/arquivos/artigos14/132021.pdf. Acesso em: 24 mar. 2024.</w:t>
      </w:r>
    </w:p>
    <w:p w14:paraId="5E931374" w14:textId="77777777" w:rsidR="00643609" w:rsidRDefault="000651AA">
      <w:pPr>
        <w:spacing w:after="240" w:line="240" w:lineRule="auto"/>
      </w:pPr>
      <w:r>
        <w:t>COSTA, C.A.</w:t>
      </w:r>
      <w:r>
        <w:rPr>
          <w:b/>
        </w:rPr>
        <w:t xml:space="preserve"> Contabilidade ambiental mensuração, evidenciação e transparência</w:t>
      </w:r>
      <w:r>
        <w:t>. 1. ed. São Paulo: Atlas, 2012.</w:t>
      </w:r>
    </w:p>
    <w:p w14:paraId="4B5E3AF5" w14:textId="77777777" w:rsidR="00643609" w:rsidRDefault="000651AA">
      <w:pPr>
        <w:spacing w:after="240" w:line="240" w:lineRule="auto"/>
      </w:pPr>
      <w:r>
        <w:t>CORRÊA, Priscilla Pereira da Costa. A absorçã</w:t>
      </w:r>
      <w:r>
        <w:t>o da agenda 2030 e seus 17 objetivos de desenvolvimento sustentável pelo judiciário brasileiro: resultados iniciais e perspectivas.</w:t>
      </w:r>
      <w:r>
        <w:rPr>
          <w:b/>
        </w:rPr>
        <w:t xml:space="preserve"> Revista Judicial Brasileira</w:t>
      </w:r>
      <w:r>
        <w:t>, Brasília, v. 1, n. 1, p. 277-300, 2021. Disponível em: https://revistadaenfam.emnuvens.com.br/r</w:t>
      </w:r>
      <w:r>
        <w:t>enfam/article/view/86/41. Acesso em: 25 jul. 2024.</w:t>
      </w:r>
    </w:p>
    <w:p w14:paraId="79089F78" w14:textId="77777777" w:rsidR="00643609" w:rsidRDefault="000651AA">
      <w:pPr>
        <w:spacing w:after="240" w:line="240" w:lineRule="auto"/>
      </w:pPr>
      <w:r>
        <w:t>FERREIRA, Felipe Sebastião da Silva; GONZALES, Alexandre. Contabilidade ambiental: um estudo sobre o impacto dos eventos econômico-ambientais nas organizações.</w:t>
      </w:r>
      <w:r>
        <w:rPr>
          <w:b/>
        </w:rPr>
        <w:t xml:space="preserve"> REMIPE - Revista de Micro e Pequenas Empresas</w:t>
      </w:r>
      <w:r>
        <w:rPr>
          <w:b/>
        </w:rPr>
        <w:t xml:space="preserve"> e Empreendedorismo da Fatec Osasco</w:t>
      </w:r>
      <w:r>
        <w:t>,</w:t>
      </w:r>
      <w:r>
        <w:rPr>
          <w:i/>
        </w:rPr>
        <w:t xml:space="preserve"> [S. l.]</w:t>
      </w:r>
      <w:r>
        <w:t>, v. 1, n. 2, p. 112–137, 2018. Disponível em: https://remipe.fatecosasco.edu.br/index.php/remipe/article/view/79. Acesso em: 28 ago. 2024.</w:t>
      </w:r>
    </w:p>
    <w:p w14:paraId="5ADAAFF5" w14:textId="77777777" w:rsidR="00643609" w:rsidRDefault="000651AA">
      <w:pPr>
        <w:spacing w:after="240" w:line="240" w:lineRule="auto"/>
      </w:pPr>
      <w:r>
        <w:t>INTERNATIONAL INTEGRATED REPORTING COUNCIL (IIRC).</w:t>
      </w:r>
      <w:r>
        <w:rPr>
          <w:b/>
        </w:rPr>
        <w:t xml:space="preserve"> The International &lt;IR</w:t>
      </w:r>
      <w:r>
        <w:rPr>
          <w:b/>
        </w:rPr>
        <w:t>&gt; Framework</w:t>
      </w:r>
      <w:r>
        <w:t>. Disponível em: http://www.theiirc.org/wp--content/uploads/2013/12/13-12-08-THE-INTERNATIONAL-IR-FRAMEWORK-2-1.pdf. Acesso em: 24 mar. 2024.</w:t>
      </w:r>
    </w:p>
    <w:p w14:paraId="129D4377" w14:textId="77777777" w:rsidR="00643609" w:rsidRDefault="000651AA">
      <w:pPr>
        <w:spacing w:after="240" w:line="240" w:lineRule="auto"/>
      </w:pPr>
      <w:r>
        <w:t>MELO, Alison Ítalo de Souza; MOREIRA, Josicleide de Amorim Pereira; CARVALHO, Esdras dos Santos; GUERRA</w:t>
      </w:r>
      <w:r>
        <w:t>, Maria das Graças Gonçalves Vieira;</w:t>
      </w:r>
    </w:p>
    <w:p w14:paraId="3631F091" w14:textId="77777777" w:rsidR="00643609" w:rsidRDefault="000651AA">
      <w:pPr>
        <w:spacing w:after="240" w:line="240" w:lineRule="auto"/>
      </w:pPr>
      <w:r>
        <w:t>JÚNIOR RAIMUNDO, Aprígio Menezes. Educação Ambiental e desenvolvimento sustentável na formação em Ciências Contábeis.</w:t>
      </w:r>
      <w:r>
        <w:rPr>
          <w:b/>
        </w:rPr>
        <w:t xml:space="preserve"> Revista Brasileira de Educação Ambiental</w:t>
      </w:r>
      <w:r>
        <w:t>, São Paulo, v. 15, n. 3, p. 73-91, 2020.</w:t>
      </w:r>
    </w:p>
    <w:p w14:paraId="34E6B754" w14:textId="77777777" w:rsidR="00643609" w:rsidRDefault="000651AA">
      <w:pPr>
        <w:spacing w:after="240" w:line="240" w:lineRule="auto"/>
      </w:pPr>
      <w:r>
        <w:t>MOTA, Marcio Olivei</w:t>
      </w:r>
      <w:r>
        <w:t>ra; MAZZA, Adriana Carla Avelino; OLIVEIRA, Francisco Correia. Uma análise dos relatórios de sustentabilidade no âmbito ambiental do Brasil: sustentabilidade ou camuflagem?</w:t>
      </w:r>
      <w:r>
        <w:rPr>
          <w:b/>
        </w:rPr>
        <w:t xml:space="preserve"> Revista Base da UNISINOS</w:t>
      </w:r>
      <w:r>
        <w:t xml:space="preserve">, São Leopoldo, v. 10, n. 1, p. 69-80, 2013.Disponível em: </w:t>
      </w:r>
      <w:r>
        <w:t>https://www.redalyc.org/journal/3372/337228653006/html/. Acesso em: 25 ago. 2024.</w:t>
      </w:r>
    </w:p>
    <w:p w14:paraId="1213E464" w14:textId="77777777" w:rsidR="00643609" w:rsidRDefault="000651AA">
      <w:pPr>
        <w:spacing w:after="240" w:line="240" w:lineRule="auto"/>
      </w:pPr>
      <w:r>
        <w:t>MINAYO, M. C. S. (Org.).</w:t>
      </w:r>
      <w:r>
        <w:rPr>
          <w:b/>
        </w:rPr>
        <w:t xml:space="preserve"> Pesquisa social: teoria, método e criatividade</w:t>
      </w:r>
      <w:r>
        <w:t>. Rio de Janeiro, RJ: Vozes, 2009. Acesso: 20 ago. 2024.</w:t>
      </w:r>
    </w:p>
    <w:p w14:paraId="202D7FC3" w14:textId="77777777" w:rsidR="00643609" w:rsidRDefault="000651AA">
      <w:pPr>
        <w:spacing w:after="240" w:line="240" w:lineRule="auto"/>
      </w:pPr>
      <w:r>
        <w:lastRenderedPageBreak/>
        <w:t>NUNES, Ginete Cavalcante; NASCIMENTO, Maria Cr</w:t>
      </w:r>
      <w:r>
        <w:t>istina Delmondes; LUZ, Maria Aparecida Carvalho Alencar. Pesquisa Científica: conceitos básicos.</w:t>
      </w:r>
      <w:r>
        <w:rPr>
          <w:b/>
        </w:rPr>
        <w:t xml:space="preserve"> Id on Line Revista de Psicologia</w:t>
      </w:r>
      <w:r>
        <w:t>,</w:t>
      </w:r>
      <w:r>
        <w:rPr>
          <w:i/>
        </w:rPr>
        <w:t xml:space="preserve"> [S. l.],</w:t>
      </w:r>
      <w:r>
        <w:t xml:space="preserve"> v.10, n.29, p.144-151, 2016. Disponível em: https://idonline.emnuvens.com.br/id/article/view/390/527. Acesso em: 02 </w:t>
      </w:r>
      <w:r>
        <w:t>set 2024.</w:t>
      </w:r>
    </w:p>
    <w:p w14:paraId="0C8B0E7F" w14:textId="77777777" w:rsidR="00643609" w:rsidRDefault="000651AA">
      <w:pPr>
        <w:spacing w:after="240" w:line="240" w:lineRule="auto"/>
      </w:pPr>
      <w:r>
        <w:t>OLIVEIRA, Leandro Dias.</w:t>
      </w:r>
      <w:r>
        <w:rPr>
          <w:b/>
        </w:rPr>
        <w:t xml:space="preserve"> A geopolítica do desenvolvimento sustentável: um estudo sobre a Conferência do Rio de Janeiro (Rio-92)</w:t>
      </w:r>
      <w:r>
        <w:t>. 2011. Tese de Doutorado. Tese (doutorado em Geografia). Departamento de Geografia, UNICAMP, Campinas. Disponível em: h</w:t>
      </w:r>
      <w:r>
        <w:t>ttps://repositorio.unicamp.br/Acervo/Detalhe/845228. Acesso em: 25 jul. 2024.</w:t>
      </w:r>
    </w:p>
    <w:p w14:paraId="4DB7C985" w14:textId="77777777" w:rsidR="00643609" w:rsidRDefault="000651AA">
      <w:pPr>
        <w:spacing w:after="240" w:line="240" w:lineRule="auto"/>
      </w:pPr>
      <w:r>
        <w:t>PAIVA, Paulo Roberto de.</w:t>
      </w:r>
      <w:r>
        <w:rPr>
          <w:b/>
        </w:rPr>
        <w:t xml:space="preserve"> Contabilidade Ambiental: evidenciação dos gastos ambientais com transparência e focada na prevenção</w:t>
      </w:r>
      <w:r>
        <w:t>. 3. ed., São Paulo: Atlas, 2003.</w:t>
      </w:r>
    </w:p>
    <w:p w14:paraId="1EBAD3AD" w14:textId="77777777" w:rsidR="00643609" w:rsidRDefault="000651AA">
      <w:pPr>
        <w:spacing w:after="240" w:line="240" w:lineRule="auto"/>
      </w:pPr>
      <w:r>
        <w:t>PADILHA, Víttor Guim</w:t>
      </w:r>
      <w:r>
        <w:t>arães; SILVA, Samara Sofia; SILVA, Gleibson Geovane; CARVALHO, Nathalia Costa; SILVA, Elisabeth Regina Alves Cavalcanti; Silva, Jadson Freitas. Sustentabilidade como vantagem competitiva nas organizações: uma revisão bibliográfica.</w:t>
      </w:r>
      <w:r>
        <w:rPr>
          <w:b/>
        </w:rPr>
        <w:t xml:space="preserve"> Meio Ambiente (Brasil)</w:t>
      </w:r>
      <w:r>
        <w:t>,</w:t>
      </w:r>
      <w:r>
        <w:t xml:space="preserve"> Brasília, v. 6, n. 1, 2024. Disponível em: https://meioambientebrasil.com.br/index.php/MABRA/article/view/458/254#. Acesso: 07 ago. 2024.</w:t>
      </w:r>
    </w:p>
    <w:p w14:paraId="00575DF5" w14:textId="77777777" w:rsidR="00643609" w:rsidRDefault="000651AA">
      <w:pPr>
        <w:spacing w:after="240" w:line="240" w:lineRule="auto"/>
      </w:pPr>
      <w:r>
        <w:t xml:space="preserve">PEREIRA, Aline Zaneli; CAPELLINI, Gustavo de Almeida. Gerenciamento de impressão nos relatórios de sustentabilidade: </w:t>
      </w:r>
      <w:r>
        <w:t>Uma análise comparativa das gigantes em mineração.</w:t>
      </w:r>
      <w:r>
        <w:rPr>
          <w:b/>
        </w:rPr>
        <w:t xml:space="preserve"> Revista Conhecimento &amp; Inovação</w:t>
      </w:r>
      <w:r>
        <w:t>, Marília, v. 2, n. 01, 2021.</w:t>
      </w:r>
    </w:p>
    <w:p w14:paraId="32BC25C5" w14:textId="77777777" w:rsidR="00643609" w:rsidRDefault="000651AA">
      <w:pPr>
        <w:spacing w:after="240" w:line="240" w:lineRule="auto"/>
      </w:pPr>
      <w:r>
        <w:t>QUINTANA, Alexandre Costa.</w:t>
      </w:r>
      <w:r>
        <w:rPr>
          <w:b/>
        </w:rPr>
        <w:t xml:space="preserve"> Contabilidade Básica.</w:t>
      </w:r>
      <w:r>
        <w:t xml:space="preserve"> São Paulo: Atlas, 2014.</w:t>
      </w:r>
    </w:p>
    <w:p w14:paraId="7701BF05" w14:textId="77777777" w:rsidR="00643609" w:rsidRDefault="000651AA">
      <w:pPr>
        <w:spacing w:after="240" w:line="240" w:lineRule="auto"/>
      </w:pPr>
      <w:r>
        <w:t>RICARDO, Veronica Silva; BARCELLOS, Sabrina Sobrinho; BORTOLON, Patríci</w:t>
      </w:r>
      <w:r>
        <w:t>a Maria. Relatório de sustentabilidade ou relato integrado das empresas listadas na BM &amp; F Bovespa: fatores determinantes de divulgação.</w:t>
      </w:r>
      <w:r>
        <w:rPr>
          <w:b/>
        </w:rPr>
        <w:t xml:space="preserve"> Revista de Gestão Social e Ambiental</w:t>
      </w:r>
      <w:r>
        <w:t>, Espírito Santo, v. 11, n. 1, p. 90, 2017. Disponível em: https://rgsa.openaccessp</w:t>
      </w:r>
      <w:r>
        <w:t>ublications.org/rgsa/article/view/1233. Acesso em: 09 jul. 2024.</w:t>
      </w:r>
    </w:p>
    <w:p w14:paraId="190A23D8" w14:textId="77777777" w:rsidR="00643609" w:rsidRDefault="000651AA">
      <w:pPr>
        <w:spacing w:after="240" w:line="240" w:lineRule="auto"/>
      </w:pPr>
      <w:r>
        <w:t>ROMEIRO, A.R. Desenvolvimento sustentável: uma perspectiva econômico-ecológica.</w:t>
      </w:r>
      <w:r>
        <w:rPr>
          <w:b/>
        </w:rPr>
        <w:t xml:space="preserve"> Estudos Avançados</w:t>
      </w:r>
      <w:r>
        <w:t>, São Paulo. 26, n. 74, p. 65-92, 2012. Disponível em: https://www.scielo.br/j/ea/a/F9XDcdCSWR</w:t>
      </w:r>
      <w:r>
        <w:t>S9Xr7SpknNJPv/? format=html&amp;lang=pt. Acesso em: 04 abr. 2024.</w:t>
      </w:r>
    </w:p>
    <w:p w14:paraId="350DE737" w14:textId="77777777" w:rsidR="00643609" w:rsidRDefault="000651AA">
      <w:pPr>
        <w:spacing w:after="240" w:line="240" w:lineRule="auto"/>
      </w:pPr>
      <w:r>
        <w:t>SANTOS, Fernanda Marsaro. Análise de conteúdo: a visão de Laurence Bardin.</w:t>
      </w:r>
      <w:r>
        <w:rPr>
          <w:b/>
        </w:rPr>
        <w:t xml:space="preserve"> Revista Eletrônica de Educação</w:t>
      </w:r>
      <w:r>
        <w:t>. São Carlos, v.6, n.1, p.383-387, 2012. Disponível em https://edisciplinas.usp.br/plugin</w:t>
      </w:r>
      <w:r>
        <w:t>file.php/8027945/mod_resource/content/1/Texto %20Principal%20-%20Gisele.pdf Acesso em: 20 ago. 2024.</w:t>
      </w:r>
    </w:p>
    <w:p w14:paraId="716C0956" w14:textId="77777777" w:rsidR="00643609" w:rsidRDefault="000651AA">
      <w:pPr>
        <w:spacing w:after="240" w:line="240" w:lineRule="auto"/>
      </w:pPr>
      <w:r>
        <w:t>SANTOS, Shellem Clara Assis dos.</w:t>
      </w:r>
      <w:r>
        <w:rPr>
          <w:b/>
        </w:rPr>
        <w:t xml:space="preserve"> Práticas de governança corporativa na empresa Natura&amp;CO Holdings S.A: Um estudo sobre a aplicação do IFRS S1 em seus relat</w:t>
      </w:r>
      <w:r>
        <w:rPr>
          <w:b/>
        </w:rPr>
        <w:t>órios de sustentabilidade</w:t>
      </w:r>
      <w:r>
        <w:t xml:space="preserve">. 2023. Trabalho de Conclusão de Curso (Ciências Contábeis) - Universidade Federal de Pernambuco, Recife, 2023. </w:t>
      </w:r>
      <w:r>
        <w:lastRenderedPageBreak/>
        <w:t>Disponível em: https://repositorio.ufpe.br/bitstream/123456789/51492/1/Tcc %20Shellem%20Clara%20Assis%20dos%20Santos.pd</w:t>
      </w:r>
      <w:r>
        <w:t>f. Acesso em: 03 jul. 2024.</w:t>
      </w:r>
    </w:p>
    <w:p w14:paraId="58AF18B5" w14:textId="77777777" w:rsidR="00643609" w:rsidRDefault="000651AA">
      <w:pPr>
        <w:spacing w:after="240" w:line="240" w:lineRule="auto"/>
      </w:pPr>
      <w:r>
        <w:t>SANTOS JÚNIOR, Erivaldo</w:t>
      </w:r>
      <w:r>
        <w:rPr>
          <w:i/>
        </w:rPr>
        <w:t xml:space="preserve"> et al</w:t>
      </w:r>
      <w:r>
        <w:t>. A CONTABILIDADE AMBIENTAL COMO INSTRUMENTO DE RESPONSABILIDADE SOCIAL EMPRESARIAL.</w:t>
      </w:r>
      <w:r>
        <w:rPr>
          <w:b/>
        </w:rPr>
        <w:t xml:space="preserve"> Revista Hórus</w:t>
      </w:r>
      <w:r>
        <w:t>,</w:t>
      </w:r>
      <w:r>
        <w:rPr>
          <w:i/>
        </w:rPr>
        <w:t xml:space="preserve"> [S. l.]</w:t>
      </w:r>
      <w:r>
        <w:t>, v. 17, n. 01, p. 01-19, 2022. Disponível em: https://estacio.periodicoscientificos.com.br/</w:t>
      </w:r>
      <w:r>
        <w:t>index.php/revistahorus/article/view/1018. Acesso em: 08 jul. 2024</w:t>
      </w:r>
    </w:p>
    <w:p w14:paraId="5053CA52" w14:textId="77777777" w:rsidR="00643609" w:rsidRDefault="000651AA">
      <w:pPr>
        <w:spacing w:after="240" w:line="240" w:lineRule="auto"/>
      </w:pPr>
      <w:r>
        <w:t>SILVA, Ana Cláudia Pais; CONDE, Fátima; VISEU, Clara. O desenvolvimento sustentável e sustentabilidade municipal: o caso de Portugal.</w:t>
      </w:r>
      <w:r>
        <w:rPr>
          <w:b/>
        </w:rPr>
        <w:t xml:space="preserve"> Revista Gestão &amp; Sustentabilidade Ambiental</w:t>
      </w:r>
      <w:r>
        <w:t>,</w:t>
      </w:r>
      <w:r>
        <w:rPr>
          <w:i/>
        </w:rPr>
        <w:t xml:space="preserve"> [S. l.]</w:t>
      </w:r>
      <w:r>
        <w:t>, v.</w:t>
      </w:r>
      <w:r>
        <w:t>11, n.4, p.429-458, 2022. Disponível em: https://portaldeperiodicos.animaeducacao.com.br/index.php/gestao_ambiental/article/view/12678. Acesso em: 02 ago. 2024.</w:t>
      </w:r>
    </w:p>
    <w:p w14:paraId="39857B37" w14:textId="77777777" w:rsidR="00643609" w:rsidRDefault="000651AA">
      <w:pPr>
        <w:spacing w:after="240" w:line="240" w:lineRule="auto"/>
      </w:pPr>
      <w:r>
        <w:t>SILVA, Christian Luiz; MENDES, Judas Tadeu Grassi.</w:t>
      </w:r>
      <w:r>
        <w:rPr>
          <w:b/>
        </w:rPr>
        <w:t xml:space="preserve"> Reflexões sobre o desenvolvimento sustentáve</w:t>
      </w:r>
      <w:r>
        <w:rPr>
          <w:b/>
        </w:rPr>
        <w:t>l: agentes e interações sob a ótica multidisciplinar</w:t>
      </w:r>
      <w:r>
        <w:t>. Vozes, 2005.</w:t>
      </w:r>
    </w:p>
    <w:p w14:paraId="50D4B523" w14:textId="77777777" w:rsidR="00643609" w:rsidRDefault="000651AA">
      <w:pPr>
        <w:spacing w:after="240" w:line="240" w:lineRule="auto"/>
      </w:pPr>
      <w:r>
        <w:t>SILVA, José Felipe Pereira. Responsabilidade social e meio ambiente: a contabilidade como ferramenta essencial ao desenvolvimento sustentável.</w:t>
      </w:r>
      <w:r>
        <w:rPr>
          <w:b/>
        </w:rPr>
        <w:t xml:space="preserve"> Revista Brasileira de Gestão Ambiental e Suste</w:t>
      </w:r>
      <w:r>
        <w:rPr>
          <w:b/>
        </w:rPr>
        <w:t>ntabilidade</w:t>
      </w:r>
      <w:r>
        <w:t>, João Pessoa, v. 6, n. 12, p. 67-80, 2019. Disponível em: https://revista.ecogestaobrasil.net/v6n12/v06n12a05a.html. Acesso: 10 ago. 2024.</w:t>
      </w:r>
    </w:p>
    <w:p w14:paraId="0B35D67C" w14:textId="77777777" w:rsidR="00643609" w:rsidRDefault="000651AA">
      <w:pPr>
        <w:spacing w:after="240" w:line="240" w:lineRule="auto"/>
      </w:pPr>
      <w:r>
        <w:t>SILVEIRA, José Henrique Porto. Apresentação. In: SILVEIRA, José Henrique Porto (Org.).</w:t>
      </w:r>
      <w:r>
        <w:rPr>
          <w:b/>
        </w:rPr>
        <w:t xml:space="preserve"> Sustentabilidade e</w:t>
      </w:r>
      <w:r>
        <w:rPr>
          <w:b/>
        </w:rPr>
        <w:t xml:space="preserve"> Responsabilidade Social</w:t>
      </w:r>
      <w:r>
        <w:t>. v.3. Belo Horizonte (MG): Poisson, 2017, p. 255.</w:t>
      </w:r>
    </w:p>
    <w:p w14:paraId="2B721390" w14:textId="77777777" w:rsidR="00643609" w:rsidRDefault="000651AA">
      <w:pPr>
        <w:spacing w:after="240" w:line="240" w:lineRule="auto"/>
      </w:pPr>
      <w:r>
        <w:t>SOUSA, Angélica Silva; OLIVEIRA, Guilherme Saramago; ALVES, Laís Hilário. A pesquisa bibliográfica: princípios e fundamentos.</w:t>
      </w:r>
      <w:r>
        <w:rPr>
          <w:b/>
        </w:rPr>
        <w:t xml:space="preserve"> Cadernos da FUCAMP</w:t>
      </w:r>
      <w:r>
        <w:t>, Campinas, v. 20, n. 43, 2021. Dispo</w:t>
      </w:r>
      <w:r>
        <w:t>nível em: https://revistas.fucamp.edu.br/index.php/cadernos/article/view/2336. Acesso: 28 ago. 2024.</w:t>
      </w:r>
    </w:p>
    <w:p w14:paraId="52653DD9" w14:textId="77777777" w:rsidR="00643609" w:rsidRDefault="000651AA">
      <w:pPr>
        <w:spacing w:after="240" w:line="240" w:lineRule="auto"/>
      </w:pPr>
      <w:r>
        <w:t>SOUSA, André Chagas; ABDALA, Klaus Oliveira. Sustentabilidade, do conceito à análise.</w:t>
      </w:r>
      <w:r>
        <w:rPr>
          <w:b/>
        </w:rPr>
        <w:t xml:space="preserve"> Revista Metropolitana de Sustentabilidade</w:t>
      </w:r>
      <w:r>
        <w:t>, Goiás, v. 10, n. 2, p. 146</w:t>
      </w:r>
      <w:r>
        <w:t>-166, 2020. Disponível em: https://revistaseletronicas.fmu.br/index.php/rms/article/view/1985/pdf Acesso em: 24 ago. 2024.</w:t>
      </w:r>
    </w:p>
    <w:p w14:paraId="11029310" w14:textId="77777777" w:rsidR="00643609" w:rsidRDefault="000651AA">
      <w:pPr>
        <w:spacing w:after="240" w:line="240" w:lineRule="auto"/>
      </w:pPr>
      <w:r>
        <w:t>TEIXEIRA, Beatriz Pereira; SILVA, Bianca; LIMA, Yasmin Garlizoni de; FARIAS, Raissa Silveira. Estudo dos relatórios de sustentabilida</w:t>
      </w:r>
      <w:r>
        <w:t>de GRI das empresas do setor de energia e saneamento.</w:t>
      </w:r>
      <w:r>
        <w:rPr>
          <w:b/>
        </w:rPr>
        <w:t xml:space="preserve"> Revista Ensaios Pioneiros,</w:t>
      </w:r>
      <w:r>
        <w:t xml:space="preserve"> v. 8 n 1, São Francisco, 2024. Disponível em: https://ensaiospioneiros.usf.edu.br/ensaios/article/view/331/212. Acesso em: 03 set 2024.</w:t>
      </w:r>
    </w:p>
    <w:p w14:paraId="2AD08F80" w14:textId="77777777" w:rsidR="00643609" w:rsidRDefault="000651AA">
      <w:pPr>
        <w:spacing w:after="240" w:line="240" w:lineRule="auto"/>
      </w:pPr>
      <w:r>
        <w:t xml:space="preserve">ZARO, Elise Soerger. Relato </w:t>
      </w:r>
      <w:r>
        <w:t>Integrado e a divulgação corporativa para a sustentabilidade.</w:t>
      </w:r>
      <w:r>
        <w:rPr>
          <w:b/>
        </w:rPr>
        <w:t xml:space="preserve"> Revista Mineira de Contabilidade</w:t>
      </w:r>
      <w:r>
        <w:t xml:space="preserve">, Belo horizonte, v. 22, n. 1, p. </w:t>
      </w:r>
      <w:r>
        <w:lastRenderedPageBreak/>
        <w:t>4-11, 2021. Disponível em: https://revista.crcmg.org.br/rmc/article/view/1329. Acesso em: 11 jun. 2024.</w:t>
      </w:r>
      <w:bookmarkStart w:id="3" w:name="art2_fim"/>
      <w:bookmarkEnd w:id="3"/>
    </w:p>
    <w:p w14:paraId="1E1DEE4E" w14:textId="77777777" w:rsidR="00643609" w:rsidRDefault="00643609">
      <w:pPr>
        <w:sectPr w:rsidR="00643609">
          <w:headerReference w:type="default" r:id="rId18"/>
          <w:footerReference w:type="default" r:id="rId19"/>
          <w:footnotePr>
            <w:numRestart w:val="eachSect"/>
          </w:footnotePr>
          <w:pgSz w:w="11906" w:h="16838"/>
          <w:pgMar w:top="1701" w:right="1134" w:bottom="1134" w:left="1701" w:header="709" w:footer="567" w:gutter="0"/>
          <w:cols w:space="720"/>
          <w:docGrid w:linePitch="360"/>
        </w:sectPr>
      </w:pPr>
      <w:bookmarkStart w:id="4" w:name="art3_ini"/>
      <w:bookmarkEnd w:id="4"/>
    </w:p>
    <w:p w14:paraId="7D4BE0C7" w14:textId="77777777" w:rsidR="00643609" w:rsidRDefault="000651AA">
      <w:pPr>
        <w:keepNext/>
        <w:spacing w:before="120" w:after="120"/>
        <w:jc w:val="center"/>
      </w:pPr>
      <w:r>
        <w:rPr>
          <w:noProof/>
        </w:rPr>
        <w:lastRenderedPageBreak/>
        <w:drawing>
          <wp:inline distT="0" distB="0" distL="0" distR="0" wp14:anchorId="4C2D4F3D" wp14:editId="0145BDBE">
            <wp:extent cx="5753100" cy="85839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_img0.png"/>
                    <pic:cNvPicPr/>
                  </pic:nvPicPr>
                  <pic:blipFill>
                    <a:blip r:embed="rId8"/>
                    <a:stretch>
                      <a:fillRect/>
                    </a:stretch>
                  </pic:blipFill>
                  <pic:spPr>
                    <a:xfrm>
                      <a:off x="0" y="0"/>
                      <a:ext cx="5753100" cy="858399"/>
                    </a:xfrm>
                    <a:prstGeom prst="rect">
                      <a:avLst/>
                    </a:prstGeom>
                  </pic:spPr>
                </pic:pic>
              </a:graphicData>
            </a:graphic>
          </wp:inline>
        </w:drawing>
      </w:r>
    </w:p>
    <w:p w14:paraId="62FB2635" w14:textId="77777777" w:rsidR="00643609" w:rsidRDefault="000651AA">
      <w:pPr>
        <w:spacing w:before="360" w:after="0" w:line="240" w:lineRule="auto"/>
        <w:jc w:val="center"/>
      </w:pPr>
      <w:r>
        <w:rPr>
          <w:b/>
        </w:rPr>
        <w:t xml:space="preserve">ANÁLISE DE CUSTO NA PRODUÇÃO DAS SAFRAS DE ARROZ E SOJA: UM ESTUDO DE </w:t>
      </w:r>
      <w:r>
        <w:rPr>
          <w:b/>
        </w:rPr>
        <w:t>CASO EM UMA FAZENDA DE SANTO ANTÔNIO DA PATRULHA/RS, NAS SAFRAS DE 2019 A 2023</w:t>
      </w:r>
    </w:p>
    <w:p w14:paraId="57F59917" w14:textId="77777777" w:rsidR="00643609" w:rsidRDefault="000651AA">
      <w:pPr>
        <w:spacing w:after="0" w:line="240" w:lineRule="auto"/>
        <w:jc w:val="right"/>
      </w:pPr>
      <w:r>
        <w:t>Eduarda Nunes dos Santos</w:t>
      </w:r>
      <w:r>
        <w:rPr>
          <w:vertAlign w:val="superscript"/>
        </w:rPr>
        <w:footnoteReference w:id="8"/>
      </w:r>
    </w:p>
    <w:p w14:paraId="03FEFF65" w14:textId="77777777" w:rsidR="00643609" w:rsidRDefault="000651AA">
      <w:pPr>
        <w:spacing w:after="0" w:line="240" w:lineRule="auto"/>
        <w:jc w:val="right"/>
      </w:pPr>
      <w:r>
        <w:t>Vanclei Zanin</w:t>
      </w:r>
      <w:r>
        <w:rPr>
          <w:vertAlign w:val="superscript"/>
        </w:rPr>
        <w:footnoteReference w:id="9"/>
      </w:r>
    </w:p>
    <w:p w14:paraId="689878B7" w14:textId="77777777" w:rsidR="00643609" w:rsidRDefault="000651AA">
      <w:pPr>
        <w:spacing w:after="0" w:line="240" w:lineRule="auto"/>
        <w:jc w:val="right"/>
      </w:pPr>
      <w:r>
        <w:t>Alex Leonardi</w:t>
      </w:r>
      <w:r>
        <w:rPr>
          <w:vertAlign w:val="superscript"/>
        </w:rPr>
        <w:footnoteReference w:id="10"/>
      </w:r>
    </w:p>
    <w:p w14:paraId="3C5BF912" w14:textId="77777777" w:rsidR="00643609" w:rsidRDefault="000651AA">
      <w:pPr>
        <w:spacing w:after="0" w:line="240" w:lineRule="auto"/>
        <w:jc w:val="right"/>
      </w:pPr>
      <w:r>
        <w:t>Ricardo Faria Corrêa</w:t>
      </w:r>
      <w:r>
        <w:rPr>
          <w:vertAlign w:val="superscript"/>
        </w:rPr>
        <w:footnoteReference w:id="11"/>
      </w:r>
    </w:p>
    <w:p w14:paraId="2F6EF34B" w14:textId="77777777" w:rsidR="00643609" w:rsidRDefault="000651AA">
      <w:pPr>
        <w:keepNext/>
        <w:spacing w:before="360" w:after="240" w:line="240" w:lineRule="auto"/>
      </w:pPr>
      <w:r>
        <w:rPr>
          <w:b/>
        </w:rPr>
        <w:t>RESUMO</w:t>
      </w:r>
    </w:p>
    <w:p w14:paraId="4E785039" w14:textId="77777777" w:rsidR="00643609" w:rsidRDefault="000651AA">
      <w:pPr>
        <w:spacing w:after="240" w:line="240" w:lineRule="auto"/>
        <w:jc w:val="both"/>
      </w:pPr>
      <w:r>
        <w:t>O presente trabalho avaliou a produção e os custos das safras de arroz e soja entre 2019</w:t>
      </w:r>
      <w:r>
        <w:t xml:space="preserve"> e 2023 na Fazenda G, localizada em Santo Antônio da Patrulha/RS, comparando esses dados com as informações da Companhia Nacional de Abastecimento (CONAB, 2024). Na produção de arroz, a Fazenda G alcançou uma produtividade média similar à registrada pela C</w:t>
      </w:r>
      <w:r>
        <w:t>ONAB em custos por saca produzida de 1,87% menores que a fazenda referência. No que tange aos preços de venda, considerando a média do mês de julho, a atividade apresentou margens positivas em todas as safras, com um mark-up de 32% sobre o custo total médi</w:t>
      </w:r>
      <w:r>
        <w:t>o. No caso da produção de soja, por outro lado, a Fazenda G apresentou produtividade inferior à média da CONAB (-18%) e custos totais por saca mais altos (80%), devido principalmente ao aumento dos preços de insumos como fertilizantes, sementes e combustív</w:t>
      </w:r>
      <w:r>
        <w:t>eis e adversidades climáticas que reduziram a produção. Mesmo assim, ao analisar o preço médio da soja a atividade teria margens positivas, embora bem mais estreitas e próximas ao ponto de equilíbrio em safras como 2019/20 e 2022/23. Em suma, os resultados</w:t>
      </w:r>
      <w:r>
        <w:t xml:space="preserve"> obtidos reforçam a importância do planejamento estratégico, da diversificação produtiva e da gestão eficiente da produção e da comercialização agrícola como elementos essenciais para melhorar a rentabilidade e garantir a sustentabilidade econômica da Faze</w:t>
      </w:r>
      <w:r>
        <w:t>nda G.</w:t>
      </w:r>
    </w:p>
    <w:p w14:paraId="78AA7B96" w14:textId="77777777" w:rsidR="00643609" w:rsidRDefault="000651AA">
      <w:pPr>
        <w:spacing w:before="240" w:after="240" w:line="240" w:lineRule="auto"/>
        <w:jc w:val="both"/>
      </w:pPr>
      <w:r>
        <w:rPr>
          <w:b/>
        </w:rPr>
        <w:t>Palavras-chave:</w:t>
      </w:r>
      <w:r>
        <w:t xml:space="preserve"> Agricultura, Arroz, Soja, Custo, Produtividade.</w:t>
      </w:r>
    </w:p>
    <w:p w14:paraId="3F542460" w14:textId="77777777" w:rsidR="00643609" w:rsidRDefault="000651AA">
      <w:pPr>
        <w:keepNext/>
        <w:spacing w:before="360" w:after="240" w:line="240" w:lineRule="auto"/>
      </w:pPr>
      <w:r>
        <w:rPr>
          <w:b/>
        </w:rPr>
        <w:t>ABSTRACT</w:t>
      </w:r>
    </w:p>
    <w:p w14:paraId="1A044C85" w14:textId="77777777" w:rsidR="00643609" w:rsidRDefault="000651AA">
      <w:pPr>
        <w:spacing w:after="240" w:line="240" w:lineRule="auto"/>
        <w:jc w:val="both"/>
      </w:pPr>
      <w:r>
        <w:t xml:space="preserve">This study evaluated the production and costs of rice and soybean crops between 2019 and 2023 at Fazenda G, located in Santo Antônio da Patrulha/RS, comparing these data </w:t>
      </w:r>
      <w:r>
        <w:t>with information from the National Supply Company (CONAB, 2024). Regarding rice production, Fazenda G achieved an average productivity similar to that recorded by CONAB, with costs per bag produced being 1.87% lower than the reference farm. Concerning sale</w:t>
      </w:r>
      <w:r>
        <w:t xml:space="preserve">s prices, based on the July average, the activity </w:t>
      </w:r>
      <w:r>
        <w:lastRenderedPageBreak/>
        <w:t>showed positive margins in all harvests, with a 32% mark-up over the average total cost. In the case of soybean production, on the other hand, Fazenda G presented lower productivity than the CONAB average (</w:t>
      </w:r>
      <w:r>
        <w:t>-18%) and higher total costs per bag (80%), primarily due to the increase in input prices—such as fertilizers, seeds, and fuel—and climatic adversities that reduced output. Nonetheless, when analyzing the average price of soybeans, the activity would still</w:t>
      </w:r>
      <w:r>
        <w:t xml:space="preserve"> yield positive margins, although significantly narrower and closer to the break-even point in harvests such as 2019/20 and 2022/23. In summary, the results reinforce the importance of strategic planning, production diversification, and efficient managemen</w:t>
      </w:r>
      <w:r>
        <w:t>t of agricultural production and commercialization as essential elements to improve profitability and ensure the economic sustainability of Fazenda G.</w:t>
      </w:r>
    </w:p>
    <w:p w14:paraId="31F85565" w14:textId="77777777" w:rsidR="00643609" w:rsidRDefault="000651AA">
      <w:pPr>
        <w:spacing w:before="240" w:after="240" w:line="240" w:lineRule="auto"/>
        <w:jc w:val="both"/>
      </w:pPr>
      <w:r>
        <w:rPr>
          <w:b/>
        </w:rPr>
        <w:t>Keywords:</w:t>
      </w:r>
      <w:r>
        <w:t xml:space="preserve"> Agriculture, Rice, Soy, Cost, Productivity.</w:t>
      </w:r>
    </w:p>
    <w:p w14:paraId="1EF0DDAF" w14:textId="77777777" w:rsidR="00643609" w:rsidRDefault="000651AA">
      <w:pPr>
        <w:keepNext/>
        <w:spacing w:before="360" w:after="240" w:line="360" w:lineRule="auto"/>
      </w:pPr>
      <w:r>
        <w:rPr>
          <w:b/>
        </w:rPr>
        <w:t>1 INTRODUÇÃO</w:t>
      </w:r>
    </w:p>
    <w:p w14:paraId="19753BD2" w14:textId="77777777" w:rsidR="00643609" w:rsidRDefault="000651AA">
      <w:pPr>
        <w:spacing w:after="0" w:line="360" w:lineRule="auto"/>
        <w:ind w:firstLine="709"/>
        <w:jc w:val="both"/>
      </w:pPr>
      <w:r>
        <w:t>Com o aumento populacional e a crescen</w:t>
      </w:r>
      <w:r>
        <w:t>te demanda por alimentos a agricultura continua sendo campo fecundo para estudos sobre produtividade e custos de produção. Ademais, a atividade primária apresenta uma estrutura de mercado que tende à competição perfeita e, neste caso, a compreensão da evol</w:t>
      </w:r>
      <w:r>
        <w:t>ução dos custos é fundamental para a manutenção dos produtores na atividade. Deve-se enfatizar ainda que a produção agrícola é sujeita a riscos diversos, desde fatores climáticos (enchentes e estiagens) ou biológicos (pragas e doenças) que impactam a produ</w:t>
      </w:r>
      <w:r>
        <w:t xml:space="preserve">ção, a fatores econômicos e geopolíticos (preço do petróleo, guerras ou disputas comerciais), com ambos impactando os preços de comercialização das commodities (Mankiw, 2005). Neste sentido, o produtor deve controlar seus custos e compreender sua evolução </w:t>
      </w:r>
      <w:r>
        <w:t>como estratégia de comercialização, buscando assim, a mitigação de riscos, sobretudo, de preços que são bastante voláteis nestes mercados (Zanin, 2023).</w:t>
      </w:r>
    </w:p>
    <w:p w14:paraId="4184B870" w14:textId="77777777" w:rsidR="00643609" w:rsidRDefault="000651AA">
      <w:pPr>
        <w:spacing w:after="0" w:line="360" w:lineRule="auto"/>
        <w:ind w:firstLine="709"/>
        <w:jc w:val="both"/>
      </w:pPr>
      <w:r>
        <w:t>Esses riscos, de preço e de produção, têm impacto direto na economia de um país como o Brasil, haja vis</w:t>
      </w:r>
      <w:r>
        <w:t>ta, sermos um dos maiores produtores de grãos do mundo. Para se ter uma ideia, de acordo com dados do Instituto Brasileiro de Geografia e Estatística (IBGE, 2024), somente na safra 2023/24, foram cultivados no país cerca de 1,6 milhões de hectares de arroz</w:t>
      </w:r>
      <w:r>
        <w:t xml:space="preserve"> e 45,9 milhões de hectares de soja. O Brasil, possui terras férteis e clima favorável que, associado a adaptação de cultivares aos seus distintos biomas, o transformaram num importante fornecedor de alimentos no mercado global. De fato, o Brasil é o maior</w:t>
      </w:r>
      <w:r>
        <w:t xml:space="preserve"> produtor de soja do mundo com uma produção de 147 milhões de toneladas em 2024, algo como 42% da produção mundial da oleaginosa (IBGE, 2024). No caso do arroz, o país também se </w:t>
      </w:r>
      <w:r>
        <w:lastRenderedPageBreak/>
        <w:t xml:space="preserve">destaca, com uma produção de 10,5 milhões de toneladas na safra de 2023/2024, </w:t>
      </w:r>
      <w:r>
        <w:t>conforme dados da Companhia Brasileira de Abastecimento (CONAB, 2024), figurando entre os 15 maiores produtores do mundo, segundo o Departamento de Agricultura dos Estados Unidos, (USDA, 2024).</w:t>
      </w:r>
    </w:p>
    <w:p w14:paraId="1BA46FAA" w14:textId="77777777" w:rsidR="00643609" w:rsidRDefault="000651AA">
      <w:pPr>
        <w:spacing w:after="0" w:line="360" w:lineRule="auto"/>
        <w:ind w:firstLine="709"/>
        <w:jc w:val="both"/>
      </w:pPr>
      <w:r>
        <w:t>Em termos regionais, segundo os dados do IBGE (2024), o Rio Gr</w:t>
      </w:r>
      <w:r>
        <w:t>ande do Sul, em 2024, foi o terceiro maior produtor de soja do país, com uma produção de 18,2 milhões de toneladas e o maior produtor nacional de arroz, com 7,08 milhões de toneladas. Cifras consideráveis, a despeito da grande perda de produção advinda dos</w:t>
      </w:r>
      <w:r>
        <w:t xml:space="preserve"> impactos da catastrófica enchente de maio de 2024. De acordo com o Instituto de Pesquisa Econômica Aplicada (IPEA, 2024) cerca de 110 mil hectares de plantação de soja foram fortemente impactados pelas enxurradas, o que corresponde a uma perda de 2,71 mil</w:t>
      </w:r>
      <w:r>
        <w:t>hões de toneladas, ou 12,2% da produção gaúcha. Já o arroz teve cerca de 47 mil hectares perdidos, o que equivale a 395 mil toneladas do cereal ou 5,52% da produção.</w:t>
      </w:r>
    </w:p>
    <w:p w14:paraId="0E5C9178" w14:textId="77777777" w:rsidR="00643609" w:rsidRDefault="000651AA">
      <w:pPr>
        <w:spacing w:after="0" w:line="360" w:lineRule="auto"/>
        <w:ind w:firstLine="709"/>
        <w:jc w:val="both"/>
      </w:pPr>
      <w:r>
        <w:t>No que tange ao município de Santo Antônio da Patrulha, os cultivos agrícolas começaram co</w:t>
      </w:r>
      <w:r>
        <w:t>m as lavouras de arroz (Oryza sativa), cereal rico em nutrientes, fibras e minerais, componente essencial da alimentação diária da população brasileira. No entanto, a falta de rotatividade de culturas acabou gerando desafios para os agricultores, a resistê</w:t>
      </w:r>
      <w:r>
        <w:t>ncia das pragas aos métodos de controle, a degradação do solo devido à contínua extração dos mesmos nutrientes e as oscilações de mercado forçaram os agricultores a buscarem alternativas. Neste sentido, a introdução da soja, como uma segunda cultura, surgi</w:t>
      </w:r>
      <w:r>
        <w:t>u como forma de diversificar a produção e reduzir a dependência de uma única fonte de renda (CONAB, 2015). Essa rotação permitiu também o desenvolvimento de práticas mais sustentáveis, melhorando a saúde do solo e proporcionando maior estabilidade econômic</w:t>
      </w:r>
      <w:r>
        <w:t>a aos produtores, que podem escolher qual cultura produzir em maior quantidade e o próprio momento da venda, aproveitando a sazonalidade de cada cultura para maximizar a receita total da fazenda (Vasconcellos e Garcia, 2014).</w:t>
      </w:r>
    </w:p>
    <w:p w14:paraId="104571BA" w14:textId="77777777" w:rsidR="00643609" w:rsidRDefault="000651AA">
      <w:pPr>
        <w:spacing w:after="0" w:line="360" w:lineRule="auto"/>
        <w:ind w:firstLine="709"/>
        <w:jc w:val="both"/>
      </w:pPr>
      <w:r>
        <w:t>O município de Santo Antônio d</w:t>
      </w:r>
      <w:r>
        <w:t xml:space="preserve">a Patrulha, conforme os últimos dados disponíveis (IBGE, 2022), em 2022, cultivou cerca de 11.907 hectares de arroz, representando uma produção de 104 mil toneladas do cereal, figurando assim como o 21º principal produtor de arroz do Rio Grande do Sul. No </w:t>
      </w:r>
      <w:r>
        <w:t>que tange a produção de soja, em 2022, o município cultivou cerca de 9 mil hectares, com produção de 27 mil toneladas da oleaginosa, ocupando a 134ª na produção de soja do estado.</w:t>
      </w:r>
    </w:p>
    <w:p w14:paraId="5328AAD6" w14:textId="77777777" w:rsidR="00643609" w:rsidRDefault="000651AA">
      <w:pPr>
        <w:spacing w:after="0" w:line="360" w:lineRule="auto"/>
        <w:ind w:firstLine="709"/>
        <w:jc w:val="both"/>
      </w:pPr>
      <w:r>
        <w:lastRenderedPageBreak/>
        <w:t>Neste contexto, o presente trabalho busca analisar custos e produtividade na</w:t>
      </w:r>
      <w:r>
        <w:t xml:space="preserve"> produção de arroz e de soja na Fazenda G (Santo Antônio da Patrulha/RS), comparando-os com a fazenda modelo da CONAB no período 2019 a 2023.</w:t>
      </w:r>
    </w:p>
    <w:p w14:paraId="5A2EAB68" w14:textId="77777777" w:rsidR="00643609" w:rsidRDefault="000651AA">
      <w:pPr>
        <w:spacing w:after="0" w:line="360" w:lineRule="auto"/>
        <w:ind w:firstLine="709"/>
        <w:jc w:val="both"/>
      </w:pPr>
      <w:r>
        <w:t>Justifica-se a escolha do tema pela grande importância que a agricultura tem para o desenvolvimento do município d</w:t>
      </w:r>
      <w:r>
        <w:t>e Santo Antônio da Patrulha e pela importância que a geração de informações setoriais tem no auxílio ao produtor na tomada de decisão em uma atividade tão suscetível a instabilidade econômica e climática como é a produção primária.</w:t>
      </w:r>
    </w:p>
    <w:p w14:paraId="4B72A28D" w14:textId="77777777" w:rsidR="00643609" w:rsidRDefault="000651AA">
      <w:pPr>
        <w:keepNext/>
        <w:spacing w:before="360" w:after="240" w:line="360" w:lineRule="auto"/>
      </w:pPr>
      <w:r>
        <w:rPr>
          <w:b/>
        </w:rPr>
        <w:t>2 FUNDAMENTAÇÃO TEÓRICA</w:t>
      </w:r>
    </w:p>
    <w:p w14:paraId="07D2D909" w14:textId="77777777" w:rsidR="00643609" w:rsidRDefault="000651AA">
      <w:pPr>
        <w:spacing w:after="0" w:line="360" w:lineRule="auto"/>
        <w:ind w:firstLine="709"/>
        <w:jc w:val="both"/>
      </w:pPr>
      <w:r>
        <w:t>Neste capítulo, apresentam-se os conceitos fundamentais sobre gestão de custos rurais e indicadores de produtividade e rentabilidade no agronegócio. A fundamentação aborda os fatores econômicos que impactam as culturas de arroz e soja em uma fazenda, utili</w:t>
      </w:r>
      <w:r>
        <w:t>zando literatura especializada para embasar a análise comparativa, de modo a fornecer o suporte teórico necessário para a compreensão da viabilidade econômica da unidade de estudo.</w:t>
      </w:r>
    </w:p>
    <w:p w14:paraId="3EDCF1A1" w14:textId="77777777" w:rsidR="00643609" w:rsidRDefault="000651AA">
      <w:pPr>
        <w:keepNext/>
        <w:spacing w:before="360" w:after="240" w:line="360" w:lineRule="auto"/>
      </w:pPr>
      <w:r>
        <w:rPr>
          <w:b/>
        </w:rPr>
        <w:t>2.1 Custos e produtividade na atividade agrícola: conceitos fundamentais</w:t>
      </w:r>
    </w:p>
    <w:p w14:paraId="3D2E92A4" w14:textId="77777777" w:rsidR="00643609" w:rsidRDefault="000651AA">
      <w:pPr>
        <w:spacing w:after="0" w:line="360" w:lineRule="auto"/>
        <w:ind w:firstLine="709"/>
        <w:jc w:val="both"/>
      </w:pPr>
      <w:r>
        <w:t xml:space="preserve">A </w:t>
      </w:r>
      <w:r>
        <w:t>ciência econômica “é a ciência social que estuda como a sociedade administra recursos produtivos (fatores de produção) escassos” (Vasconcellos e Garcia 2014, p.21). Nota-se que os recursos produtivos são limitados, mas as necessidades da população são ilim</w:t>
      </w:r>
      <w:r>
        <w:t>itadas. Nesse sentido, tanto na produção de arroz quanto na produção de soja, os agricultores enfrentam o problema econômico de produzir de maneira mais eficiente visando maximizar a produção e o lucro em sua atividade. Para tanto é fundamental a tomada de</w:t>
      </w:r>
      <w:r>
        <w:t xml:space="preserve"> decisão estratégica, relacionada à alocação de recursos e análise de projetos de investimento (Assaf Neto, 2010).</w:t>
      </w:r>
    </w:p>
    <w:p w14:paraId="3EBC7FA9" w14:textId="77777777" w:rsidR="00643609" w:rsidRDefault="000651AA">
      <w:pPr>
        <w:spacing w:after="0" w:line="360" w:lineRule="auto"/>
        <w:ind w:firstLine="709"/>
        <w:jc w:val="both"/>
      </w:pPr>
      <w:r>
        <w:t>Neste sentido, os produtores ao definirem o que produzir se deparam com custos. Os denominados de custos fixos (CFT), que são os custos indep</w:t>
      </w:r>
      <w:r>
        <w:t>endentes da quantidade produzida. Por outro lado, os custos variáveis, são aqueles que variam com a quantidade produzida. Tem-se ainda, o custo de oportunidade, que nada mais é que o uso alternativo dos recursos que estão sendo empregados na presente ativi</w:t>
      </w:r>
      <w:r>
        <w:t>dade se fossem direcionados a outra atividade disponível (Mankiw, 2005).</w:t>
      </w:r>
    </w:p>
    <w:p w14:paraId="607A4751" w14:textId="77777777" w:rsidR="00643609" w:rsidRDefault="000651AA">
      <w:pPr>
        <w:spacing w:after="0" w:line="360" w:lineRule="auto"/>
        <w:ind w:firstLine="709"/>
        <w:jc w:val="both"/>
      </w:pPr>
      <w:r>
        <w:lastRenderedPageBreak/>
        <w:t>Na definição de o que produzir os agricultores enfrentam um “trade-off” entre as diferentes culturas disponíveis e devem decidir buscando a melhor alternativa para a manutenção da ati</w:t>
      </w:r>
      <w:r>
        <w:t>vidade ao longo do tempo. Por óbvio, nos mercados agrícolas, assim como em qualquer mercado, quanto maior o preço, com tudo o mais constante, maior tenderá a ser a sua oferta. Assim, tendo a possibilidade de rotação de culturas e de haver mais de uma safra</w:t>
      </w:r>
      <w:r>
        <w:t xml:space="preserve"> por ano aumenta-se o conjunto de possibilidade dos agricultores e faz com que a produção responda com maior sensibilidade (elasticidade-preço da oferta) a variações nos preços (Zanin, 2023).</w:t>
      </w:r>
    </w:p>
    <w:p w14:paraId="4E0ECEDC" w14:textId="77777777" w:rsidR="00643609" w:rsidRDefault="000651AA">
      <w:pPr>
        <w:spacing w:after="0" w:line="360" w:lineRule="auto"/>
        <w:ind w:firstLine="709"/>
        <w:jc w:val="both"/>
      </w:pPr>
      <w:r>
        <w:t>A produção de qualquer bem requer a combinação dos fatores de pr</w:t>
      </w:r>
      <w:r>
        <w:t>odução e a utilização de diferentes insumos (Mankiw, 2019). A produção agrícola não é diferente e, neste caso, diferenças métricas de custos surgem no decorrer do processo produtivo (custo total, custo variável, custo efetivo, etc.). O acompanhamento da ev</w:t>
      </w:r>
      <w:r>
        <w:t xml:space="preserve">olução destas métricas e sua relação com a produtividade por unidade de terra (sacas/ha) são elementos fundamentais para a sustentabilidade da atividade primária e devem estar presentes na gestão da empresa agrícola (fazenda). Segundo Vasconcellos (2014), </w:t>
      </w:r>
      <w:r>
        <w:t>a produtividade da agricultura do fator terra (área cultivada), pode ser calculada da seguinte forma: Produtividade média da terra: PMet = quantidade produzida / área cultivada.</w:t>
      </w:r>
    </w:p>
    <w:p w14:paraId="29229EFF" w14:textId="77777777" w:rsidR="00643609" w:rsidRDefault="000651AA">
      <w:pPr>
        <w:spacing w:after="0" w:line="360" w:lineRule="auto"/>
        <w:ind w:firstLine="709"/>
        <w:jc w:val="both"/>
      </w:pPr>
      <w:r>
        <w:t>Segundo Mankiw (2005) os custos são elementos essenciais para viabilizar o fun</w:t>
      </w:r>
      <w:r>
        <w:t>cionamento das atividades e a produção (de bens e serviços) de uma empresa. Esses são classificados em duas categorias principais: custos fixos, que permanecem constantes independentemente do volume de produção e custos variáveis, que oscilam conforme a qu</w:t>
      </w:r>
      <w:r>
        <w:t>antidade produzida. O somatório dessas categorias compõe o custo total de produção de uma fazenda, refletindo o montante necessário para sustentar suas operações (Custo total (CT) = custos fixos (CFT) + custos variáveis (CVT)).</w:t>
      </w:r>
    </w:p>
    <w:p w14:paraId="303A64A5" w14:textId="77777777" w:rsidR="00643609" w:rsidRDefault="000651AA">
      <w:pPr>
        <w:spacing w:after="0" w:line="360" w:lineRule="auto"/>
        <w:ind w:firstLine="709"/>
        <w:jc w:val="both"/>
      </w:pPr>
      <w:r>
        <w:t>Mas, além destas, outras con</w:t>
      </w:r>
      <w:r>
        <w:t>ceituações também são importantes para a melhor estruturação do presente do trabalho. Assim, segue-se mais algumas definições de componentes importantes dos custos agrupados de acordo com suas funções no processo produtivo da atividade primária, conforme a</w:t>
      </w:r>
      <w:r>
        <w:t xml:space="preserve"> CONAB (2021), nos Anexos A e B são apresentadas, em detalhe, as rubricas do custeio utilizados pela CONAB.</w:t>
      </w:r>
    </w:p>
    <w:p w14:paraId="4B33D6C5" w14:textId="77777777" w:rsidR="00643609" w:rsidRDefault="000651AA">
      <w:pPr>
        <w:spacing w:after="0" w:line="360" w:lineRule="auto"/>
        <w:ind w:firstLine="709"/>
        <w:jc w:val="both"/>
      </w:pPr>
      <w:r>
        <w:t>A CONAB utiliza a expressão "Despesas de custeio" para classificar os gastos da lavoura, embora essa junção seja incomum na contabilidade. Essa clas</w:t>
      </w:r>
      <w:r>
        <w:t xml:space="preserve">sificação, </w:t>
      </w:r>
      <w:r>
        <w:lastRenderedPageBreak/>
        <w:t>segundo a CONAB (2021), refere-se ao custo total, incluindo custos variáveis diretos (despesas diretas) e a parcela dos custos fixos diretamente ligada à implementação da lavoura (CONAB, 2021).</w:t>
      </w:r>
    </w:p>
    <w:p w14:paraId="1EC332B0" w14:textId="77777777" w:rsidR="00643609" w:rsidRDefault="000651AA">
      <w:pPr>
        <w:spacing w:after="0" w:line="360" w:lineRule="auto"/>
        <w:ind w:firstLine="709"/>
        <w:jc w:val="both"/>
      </w:pPr>
      <w:r>
        <w:t>Outras despesas referem-se aos gastos que, apesar d</w:t>
      </w:r>
      <w:r>
        <w:t>e fazerem parte do custo variável da produção, não estão integrados no custeio, ou seja, não são custos que estão diretamente relacionados com a condução da atividade em questão, mas ocorrem apenas mediante a produção. Para melhor compreensão, os custos sã</w:t>
      </w:r>
      <w:r>
        <w:t>o os valores investidos que compõem a produção diretamente, enquanto as despesas são os valores desembolsados indiretamente que auxiliam o andamento dos processos de operações em geral.</w:t>
      </w:r>
    </w:p>
    <w:p w14:paraId="417C4BBA" w14:textId="77777777" w:rsidR="00643609" w:rsidRDefault="000651AA">
      <w:pPr>
        <w:spacing w:after="0" w:line="360" w:lineRule="auto"/>
        <w:ind w:firstLine="709"/>
        <w:jc w:val="both"/>
      </w:pPr>
      <w:r>
        <w:t>Despesas financeiras são os juros de financiamentos pagos para o custe</w:t>
      </w:r>
      <w:r>
        <w:t>io da atividade produtiva, elas resultam em um custo variável de produção (CONAB, 2021).</w:t>
      </w:r>
    </w:p>
    <w:p w14:paraId="5871E47A" w14:textId="77777777" w:rsidR="00643609" w:rsidRDefault="000651AA">
      <w:pPr>
        <w:spacing w:after="0" w:line="360" w:lineRule="auto"/>
        <w:ind w:firstLine="709"/>
        <w:jc w:val="both"/>
      </w:pPr>
      <w:r>
        <w:t>Depreciação refere-se a perda de valor e ou ineficiência do bem a medida do seu uso, causada pelo desgaste e obsolescência tecnológica, sendo considerada no custo fixo</w:t>
      </w:r>
      <w:r>
        <w:t xml:space="preserve"> (CONAB, 2021).</w:t>
      </w:r>
    </w:p>
    <w:p w14:paraId="24570838" w14:textId="77777777" w:rsidR="00643609" w:rsidRDefault="000651AA">
      <w:pPr>
        <w:spacing w:after="0" w:line="360" w:lineRule="auto"/>
        <w:ind w:firstLine="709"/>
        <w:jc w:val="both"/>
      </w:pPr>
      <w:r>
        <w:t>O cálculo de depreciação dos itens é realizado a partir dos dados disponibilizados pelo produtor referente aos bens que dispõe e os valores de informação do quadro acima fornecido pela CONAB (2021).</w:t>
      </w:r>
    </w:p>
    <w:p w14:paraId="39E31566" w14:textId="77777777" w:rsidR="00643609" w:rsidRDefault="000651AA">
      <w:pPr>
        <w:spacing w:after="0" w:line="360" w:lineRule="auto"/>
        <w:ind w:firstLine="709"/>
        <w:jc w:val="both"/>
      </w:pPr>
      <w:r>
        <w:t xml:space="preserve">Renda de fatores é uma forma de se </w:t>
      </w:r>
      <w:r>
        <w:t>contabilizar o custo de oportunidade referente aos fatores fixos utilizados. Assim, na definição apresentada pela CONAB (2021) ela “é a renda dos fatores fixos, considerada como remuneração esperada sobre o capital fixo e sobre a terra”. Ela é mensurada co</w:t>
      </w:r>
      <w:r>
        <w:t>mo remuneração do capital imobilizado pelo agricultor, incidindo sobre o capital fixo, o cultivo e a terra, imputando a taxa de rendimento anual da poupança como custo sobre o montante imobilizado.</w:t>
      </w:r>
    </w:p>
    <w:p w14:paraId="57B8C7B7" w14:textId="77777777" w:rsidR="00643609" w:rsidRDefault="000651AA">
      <w:pPr>
        <w:spacing w:after="0" w:line="360" w:lineRule="auto"/>
        <w:ind w:firstLine="709"/>
        <w:jc w:val="both"/>
      </w:pPr>
      <w:r>
        <w:t xml:space="preserve">Custo total: compreendem o somatório do custo operacional </w:t>
      </w:r>
      <w:r>
        <w:t>mais a remuneração atribuída aos fatores de produção. Já o Custo total médio (CTMe): é obtido a partir do cálculo do custo total dividido pela quantidade produzida, é uma métrica do custo unitário da produção.</w:t>
      </w:r>
    </w:p>
    <w:p w14:paraId="66D29344" w14:textId="77777777" w:rsidR="00643609" w:rsidRDefault="000651AA">
      <w:pPr>
        <w:keepNext/>
        <w:spacing w:before="360" w:after="240" w:line="360" w:lineRule="auto"/>
      </w:pPr>
      <w:r>
        <w:rPr>
          <w:b/>
        </w:rPr>
        <w:lastRenderedPageBreak/>
        <w:t>3 METODOLOGIA</w:t>
      </w:r>
    </w:p>
    <w:p w14:paraId="37688519" w14:textId="77777777" w:rsidR="00643609" w:rsidRDefault="000651AA">
      <w:pPr>
        <w:spacing w:after="0" w:line="360" w:lineRule="auto"/>
        <w:ind w:firstLine="709"/>
        <w:jc w:val="both"/>
      </w:pPr>
      <w:r>
        <w:t>O presente trabalho tem o viés d</w:t>
      </w:r>
      <w:r>
        <w:t>e natureza quantitativa e de caráter descritivo e exploratório, baseado em um estudo de caso único por meio de uma fazenda especializada na produção de soja e arroz na localidade de Miraguaia, Município de Santo Antônio da Patrulha, Estado do Rio Grande do</w:t>
      </w:r>
      <w:r>
        <w:t xml:space="preserve"> Sul. A partir deste, objetivou-se analisar o sistema produtivo, custos de produção e produtividade da propriedade e compará-lo com os custos de produção de uma fazenda modelo para a região (CONAB, 2021).</w:t>
      </w:r>
    </w:p>
    <w:p w14:paraId="3FC6F16A" w14:textId="77777777" w:rsidR="00643609" w:rsidRDefault="000651AA">
      <w:pPr>
        <w:spacing w:after="0" w:line="360" w:lineRule="auto"/>
        <w:ind w:firstLine="709"/>
        <w:jc w:val="both"/>
      </w:pPr>
      <w:r>
        <w:t>A Fazenda G fica localizada na região de Miraguaia,</w:t>
      </w:r>
      <w:r>
        <w:t xml:space="preserve"> no 2º distrito do município de Santo Antônio da Patrulha, onde faz divisa com o início do banhado grande, na bacia do Rio Gravataí. Iniciando suas atividades no ano 2000, inicialmente focada na produção de arroz e criação de pequenos rebanhos de bovinos. </w:t>
      </w:r>
      <w:r>
        <w:t>A partir de 2005, devido às grandes oscilações de produção e de preços, a fazenda resolveu adotar a rotação de culturas, incorporando a soja em seu portfólio, conforme relatos de seu proprietário. Atualmente a fazenda conta com 4 funcionários e 3 membros d</w:t>
      </w:r>
      <w:r>
        <w:t>a família para a execução das atividades necessárias do empreendimento. Os principais fatores que influenciam a estratégia de alocação de hectares para cada grão incluem o custo de produção, as previsões de mercado futuro (para os preços das referidas comm</w:t>
      </w:r>
      <w:r>
        <w:t>odities) e as condições climáticas esperadas para o período.</w:t>
      </w:r>
    </w:p>
    <w:p w14:paraId="4E284779" w14:textId="77777777" w:rsidR="00643609" w:rsidRDefault="000651AA">
      <w:pPr>
        <w:spacing w:after="0" w:line="360" w:lineRule="auto"/>
        <w:ind w:firstLine="709"/>
        <w:jc w:val="both"/>
      </w:pPr>
      <w:r>
        <w:t>A fazenda modal da CONAB é desenhada a partir de pesquisas com produtores de regiões específicas, onde se coleta dados referentes à produção, custos, sistemas de cultivo e outros fatores essencia</w:t>
      </w:r>
      <w:r>
        <w:t>is, utilizando uma amostra representativa desses produtores. Com base nessas informações, são elaboradas planilhas que servem como modelo para análise das safras e de seus custos.</w:t>
      </w:r>
    </w:p>
    <w:p w14:paraId="7A4AD03C" w14:textId="77777777" w:rsidR="00643609" w:rsidRDefault="000651AA">
      <w:pPr>
        <w:spacing w:after="0" w:line="360" w:lineRule="auto"/>
        <w:ind w:firstLine="709"/>
        <w:jc w:val="both"/>
      </w:pPr>
      <w:r>
        <w:t xml:space="preserve">A partir das informações da Fazenda G e da Fazenda modal da CONAB, faz-se a </w:t>
      </w:r>
      <w:r>
        <w:t>comparação das variações absolutas e percentuais das contas (dos custos) ao longo dos diferentes períodos entre elas. Mais especificamente, o presente trabalho aplicou a análise horizontal nas rubricas de custos da Fazenda G, tendo como benchmark os custos</w:t>
      </w:r>
      <w:r>
        <w:t xml:space="preserve"> de uma fazenda típica de soja na região de Cruz Alta/RS (CONAB, 2024b) e de uma fazenda típica de arroz de Santo Antônio da Patrulha/RS (CONAB, 2024a) para avaliar como os custos e a eficiência na produção de arroz e soja na Fazenda G se comparam aos padr</w:t>
      </w:r>
      <w:r>
        <w:t xml:space="preserve">ões da CONAB nos anos de 2019 a 2023. </w:t>
      </w:r>
      <w:r>
        <w:lastRenderedPageBreak/>
        <w:t>Assim, pode-se observar o desempenho da Fazenda G em relação a fazenda típica de pesquisa considerada pela CONAB (2024a, 2024b) e a evolução do custo por hectare de lavoura de soja e de arroz por safra.</w:t>
      </w:r>
    </w:p>
    <w:p w14:paraId="2323817D" w14:textId="77777777" w:rsidR="00643609" w:rsidRDefault="000651AA">
      <w:pPr>
        <w:spacing w:after="0" w:line="360" w:lineRule="auto"/>
        <w:ind w:firstLine="709"/>
        <w:jc w:val="both"/>
      </w:pPr>
      <w:r>
        <w:t>A coleta de dad</w:t>
      </w:r>
      <w:r>
        <w:t>os considerou o tamanho da propriedade, a proporção da área produzida em cada cultura e a disponibilidade de obter as informações da contabilidade e do proprietário da referida fazenda pelo regime de competência. Neste contexto, considerando a sigilosidade</w:t>
      </w:r>
      <w:r>
        <w:t xml:space="preserve"> dos dados e o respeito aos direitos do entrevistado e sua empresa, com base na Lei Geral de Proteção de Dados Pessoais (LGPD, n° 13.709/2018), as informações foram apresentadas de maneira agregada sem mencionar o nome da fazenda e/ou do proprietário.</w:t>
      </w:r>
    </w:p>
    <w:p w14:paraId="242B5D45" w14:textId="77777777" w:rsidR="00643609" w:rsidRDefault="000651AA">
      <w:pPr>
        <w:spacing w:after="0" w:line="360" w:lineRule="auto"/>
        <w:ind w:firstLine="709"/>
        <w:jc w:val="both"/>
      </w:pPr>
      <w:r>
        <w:t>Os d</w:t>
      </w:r>
      <w:r>
        <w:t>ados foram então registrados por meio de relatórios e planilhas de acordo com a apostila de Norma Metodológica do Custo de Produção - 30.302 CONAB (2021), a qual estabelece critérios para calcular os custos agrícolas, considerando despesas operacionais (in</w:t>
      </w:r>
      <w:r>
        <w:t>sumos, mão de obra, combustível) e fixas (máquinas, impostos, infraestrutura), tendo como objetivo padronizar a análise de custos, permitindo comparações entre safras e regiões, auxiliando produtores na gestão eficiente, na redução de desperdícios e no aum</w:t>
      </w:r>
      <w:r>
        <w:t>ento da competitividade. A utilização de um pacote modal específico para cada localidade, definido em conjunto com os produtores e órgãos responsáveis da localidade, garante a representatividade dos dados e a adequação às particularidades de cada região. E</w:t>
      </w:r>
      <w:r>
        <w:t>ssa riqueza de informações permite uma análise detalhada dos custos de produção, da produtividade e da rentabilidade das diversas culturas, contribuindo para a tomada de decisões mais assertivas tanto por parte dos produtores quanto dos formuladores de pol</w:t>
      </w:r>
      <w:r>
        <w:t>íticas públicas.</w:t>
      </w:r>
    </w:p>
    <w:p w14:paraId="2EA5F722" w14:textId="77777777" w:rsidR="00643609" w:rsidRDefault="000651AA">
      <w:pPr>
        <w:spacing w:after="0" w:line="360" w:lineRule="auto"/>
        <w:ind w:firstLine="709"/>
        <w:jc w:val="both"/>
      </w:pPr>
      <w:r>
        <w:t>Nesse sentido, a tomada de decisões por parte dos produtores desse ser subsidiada com as melhores informações disponíveis, é com esse intuito que o presente trabalho é construído. Assim, em posse de informações fidedignas da Fazenda G, com</w:t>
      </w:r>
      <w:r>
        <w:t>parando-as com o padrão regional médio nas atividades de produção de arroz e soja, o produtor possa definir estrategicamente seu mix de produção e comercialização, a fim de garantir a sustentabilidade da atividade.</w:t>
      </w:r>
    </w:p>
    <w:p w14:paraId="3006AFBD" w14:textId="77777777" w:rsidR="00643609" w:rsidRDefault="000651AA">
      <w:pPr>
        <w:keepNext/>
        <w:spacing w:before="360" w:after="240" w:line="360" w:lineRule="auto"/>
      </w:pPr>
      <w:r>
        <w:rPr>
          <w:b/>
        </w:rPr>
        <w:lastRenderedPageBreak/>
        <w:t>4 APRESENTAÇÃO E ANÁLISE DOS DADOS</w:t>
      </w:r>
    </w:p>
    <w:p w14:paraId="0B90BE14" w14:textId="77777777" w:rsidR="00643609" w:rsidRDefault="000651AA">
      <w:pPr>
        <w:spacing w:after="0" w:line="360" w:lineRule="auto"/>
        <w:ind w:firstLine="709"/>
        <w:jc w:val="both"/>
      </w:pPr>
      <w:r>
        <w:t>Confor</w:t>
      </w:r>
      <w:r>
        <w:t>me CONAB (2015), o processo produtivo agrícola envolve uma sequência de etapas, desde a preparação do solo, o plantio, a aplicação de defensivos agrícolas e fertilizantes, até a supervisão e o controle. Diferentemente de uma linha de produção fabril, que s</w:t>
      </w:r>
      <w:r>
        <w:t>egue um sistema mais previsível e controlado, a agricultura, muitas vezes, precisa lidar com imprevistos. Fatores como baixa luminosidade e alterações drásticas das temperaturas atmosféricas podem comprometer a fotossíntese das plantas e a qualidade do seu</w:t>
      </w:r>
      <w:r>
        <w:t xml:space="preserve"> desenvolvimento. Além disso, eventos climáticos adversos, como chuvas fora de época, secas prolongadas e temporais com granizo, podem reduzir significativamente a produção ou mesmo causar grandes prejuízos (CONAB, 2015).</w:t>
      </w:r>
    </w:p>
    <w:p w14:paraId="4AD8C5A1" w14:textId="77777777" w:rsidR="00643609" w:rsidRDefault="000651AA">
      <w:pPr>
        <w:spacing w:after="0" w:line="360" w:lineRule="auto"/>
        <w:ind w:firstLine="709"/>
        <w:jc w:val="both"/>
      </w:pPr>
      <w:r>
        <w:t>No período analisado os produtores</w:t>
      </w:r>
      <w:r>
        <w:t xml:space="preserve"> enfrentaram um cenário bastante adverso devido à variabilidade climática, com secas e enchentes, ao aumento dos custos dos insumos, derivados de guerras e instabilidade geopolítica. Por outro lado, por ser uma propriedade diversificada que combina o culti</w:t>
      </w:r>
      <w:r>
        <w:t xml:space="preserve">vo de arroz e soja, a Fazenda G possui uma vantagem competitiva, pois essa diversidade de atividades permite a diluição de custos e oferece maior segurança no retorno financeiro. Neste sentido, a análise horizontal, adotada neste trabalho, conforme Marion </w:t>
      </w:r>
      <w:r>
        <w:t>(2011), desempenha um papel crucial ao comparar variações absolutas e percentuais das contas (custos) ao longo de diferentes períodos.</w:t>
      </w:r>
    </w:p>
    <w:p w14:paraId="79228C73" w14:textId="77777777" w:rsidR="00643609" w:rsidRDefault="000651AA">
      <w:pPr>
        <w:spacing w:after="0" w:line="360" w:lineRule="auto"/>
        <w:ind w:firstLine="709"/>
        <w:jc w:val="both"/>
      </w:pPr>
      <w:r>
        <w:t>A comparação com os benchmarks regionais da CONAB revelou as especificidades da Fazenda G, além de identificar oportunida</w:t>
      </w:r>
      <w:r>
        <w:t>des de otimização e sinergia com as melhores práticas do setor. Essa análise deve subsidiar a tomada de decisões estratégicas e contribui para a construção de um modelo de produção agrícola mais sustentável e eficiente, alinhado às demandas do mercado e às</w:t>
      </w:r>
      <w:r>
        <w:t xml:space="preserve"> melhores práticas de gestão. A seguir os principais pontos e resultados encontrados na análise de arroz e soja são apresentados.</w:t>
      </w:r>
    </w:p>
    <w:p w14:paraId="3D730540" w14:textId="77777777" w:rsidR="00643609" w:rsidRDefault="000651AA">
      <w:pPr>
        <w:keepNext/>
        <w:spacing w:before="360" w:after="240" w:line="360" w:lineRule="auto"/>
      </w:pPr>
      <w:r>
        <w:rPr>
          <w:b/>
        </w:rPr>
        <w:t>4.1 Produção e custos no arroz</w:t>
      </w:r>
    </w:p>
    <w:p w14:paraId="009D2A44" w14:textId="77777777" w:rsidR="00643609" w:rsidRDefault="000651AA">
      <w:pPr>
        <w:spacing w:after="0" w:line="360" w:lineRule="auto"/>
        <w:ind w:firstLine="709"/>
        <w:jc w:val="both"/>
      </w:pPr>
      <w:r>
        <w:t>A plantação de arroz foi analisada em 4 safras, sendo elas: 2019/20, 2020/21, 2021/22 e 2022/23</w:t>
      </w:r>
      <w:r>
        <w:t xml:space="preserve">, na Fazenda G, tivemos uma produção média anual de 7.050 Kg/ha em três das quatro safras, equivalente a cerca de 141 sacas por hectare. No entanto, na safra de 2020/21 o clima foi favorável e a produção teve um crescimento </w:t>
      </w:r>
      <w:r>
        <w:lastRenderedPageBreak/>
        <w:t>considerável, atingindo 177 saca</w:t>
      </w:r>
      <w:r>
        <w:t xml:space="preserve">s por hectare de arroz (8.855 Kg/ha). Já a média produtiva estimada pela CONAB (2024a) foi de 7.500 kg/ha nas quatro safras, equivalente a 150 sacas de arroz por hectare plantado, para a cidade de Santo Antônio da Patrulha/RS, como pode-se ver a seguir na </w:t>
      </w:r>
      <w:r>
        <w:t>Gráfico 1.</w:t>
      </w:r>
    </w:p>
    <w:p w14:paraId="286B2728" w14:textId="77777777" w:rsidR="00643609" w:rsidRDefault="000651AA">
      <w:pPr>
        <w:keepNext/>
        <w:keepLines/>
        <w:spacing w:before="240" w:after="120" w:line="240" w:lineRule="auto"/>
      </w:pPr>
      <w:r>
        <w:rPr>
          <w:b/>
          <w:sz w:val="20"/>
        </w:rPr>
        <w:t>Gráfico 1 – Produtividade média (kg/ha) na produção de arroz, em Santo Antônio da Patrulha, safras 2019/20 a 2022/23: Fazenda G e modelo CONAB.</w:t>
      </w:r>
    </w:p>
    <w:p w14:paraId="31C9E2B4" w14:textId="77777777" w:rsidR="00643609" w:rsidRDefault="000651AA">
      <w:pPr>
        <w:keepNext/>
        <w:spacing w:before="120" w:after="120"/>
        <w:jc w:val="center"/>
      </w:pPr>
      <w:r>
        <w:rPr>
          <w:noProof/>
        </w:rPr>
        <w:drawing>
          <wp:inline distT="0" distB="0" distL="0" distR="0" wp14:anchorId="6B8CC8AF" wp14:editId="12FBD74A">
            <wp:extent cx="5753100" cy="112708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61_reg1.png"/>
                    <pic:cNvPicPr/>
                  </pic:nvPicPr>
                  <pic:blipFill>
                    <a:blip r:embed="rId20"/>
                    <a:stretch>
                      <a:fillRect/>
                    </a:stretch>
                  </pic:blipFill>
                  <pic:spPr>
                    <a:xfrm>
                      <a:off x="0" y="0"/>
                      <a:ext cx="5753100" cy="1127083"/>
                    </a:xfrm>
                    <a:prstGeom prst="rect">
                      <a:avLst/>
                    </a:prstGeom>
                  </pic:spPr>
                </pic:pic>
              </a:graphicData>
            </a:graphic>
          </wp:inline>
        </w:drawing>
      </w:r>
    </w:p>
    <w:p w14:paraId="290AE913" w14:textId="77777777" w:rsidR="00643609" w:rsidRDefault="000651AA">
      <w:pPr>
        <w:keepLines/>
        <w:spacing w:after="240" w:line="240" w:lineRule="auto"/>
      </w:pPr>
      <w:r>
        <w:rPr>
          <w:sz w:val="20"/>
        </w:rPr>
        <w:t xml:space="preserve">Fonte: Elaboração dos autores, a partir de dados da CONAB (2024a) e informações da </w:t>
      </w:r>
      <w:r>
        <w:rPr>
          <w:sz w:val="20"/>
        </w:rPr>
        <w:t>pesquisa.</w:t>
      </w:r>
    </w:p>
    <w:p w14:paraId="229C3949" w14:textId="77777777" w:rsidR="00643609" w:rsidRDefault="000651AA">
      <w:pPr>
        <w:spacing w:after="0" w:line="360" w:lineRule="auto"/>
        <w:ind w:firstLine="709"/>
        <w:jc w:val="both"/>
      </w:pPr>
      <w:r>
        <w:t>Se fizermos a média nas quatro safras, a produtividade da Fazenda G na produção de arroz é de 7.501,00 kg/ha, equivalente à média para o quadriênio estimada pela CONAB (7.500,00 kg/ha), o que indica a similaridade da produção da fazenda com o ben</w:t>
      </w:r>
      <w:r>
        <w:t>chmark. Porém, vemos que essa produção foi resultante de um ano atípico, e mais produtivo (2020/21), indicando a dependência da atividade de um clima favorável.</w:t>
      </w:r>
    </w:p>
    <w:p w14:paraId="5E4E6A44" w14:textId="77777777" w:rsidR="00643609" w:rsidRDefault="000651AA">
      <w:pPr>
        <w:spacing w:after="0" w:line="360" w:lineRule="auto"/>
        <w:ind w:firstLine="709"/>
        <w:jc w:val="both"/>
      </w:pPr>
      <w:r>
        <w:t>Ao analisarmos os custos (Gráfico 2), nota-se que a Fazenda G na safra de 2019/20 teve um custo</w:t>
      </w:r>
      <w:r>
        <w:t xml:space="preserve"> variável (R$ 5.995,34) 0,96% menor do que a CONAB (R$6.053,21), da mesma forma o custo fixo foi 37,7% menor (R$ 533,48 versus R$ 734,95), este resultado se deve ao fato de a Fazenda G ter mais de uma safra e de um produto cultivado, o que dilui os custos </w:t>
      </w:r>
      <w:r>
        <w:t>fixos.</w:t>
      </w:r>
    </w:p>
    <w:p w14:paraId="014F9281" w14:textId="77777777" w:rsidR="00643609" w:rsidRDefault="000651AA">
      <w:pPr>
        <w:spacing w:after="0" w:line="360" w:lineRule="auto"/>
        <w:ind w:firstLine="709"/>
        <w:jc w:val="both"/>
      </w:pPr>
      <w:r>
        <w:t>Na análise das demais safras (2020/21 a 2022/23) observa-se uma mudança significativa no custo variável da Fazenda G, que se mostrou maior que o modelo da CONAB, enquanto o custo fixo, apesar de se elevar, continuou sendo menor que o da fazenda da C</w:t>
      </w:r>
      <w:r>
        <w:t>ONAB. Assim sendo, temos um custo variável para a safra 2020/21 de R$ 8.436,70 versus R$ 5.693,56 (48% maior) na safra 2021/22, este custo variável por hectare foi de R$7.580,51 versus R$6.590,31 (15% maior) e na safra 2022/23 foi de R$11.442,15 versus R$1</w:t>
      </w:r>
      <w:r>
        <w:t>0.051,34 (14% maior). Na média dessas três safras o custo variável da Fazenda G foi 23% maior que o da CONAB, e nas quatro safras foi 18% superior, em média.</w:t>
      </w:r>
    </w:p>
    <w:p w14:paraId="64B407EC" w14:textId="77777777" w:rsidR="00643609" w:rsidRDefault="000651AA">
      <w:pPr>
        <w:keepNext/>
        <w:keepLines/>
        <w:spacing w:before="240" w:after="120" w:line="240" w:lineRule="auto"/>
      </w:pPr>
      <w:r>
        <w:rPr>
          <w:b/>
          <w:sz w:val="20"/>
        </w:rPr>
        <w:lastRenderedPageBreak/>
        <w:t>Gráfico 2 – Comparativo da evolução dos custos totais na produção de arroz em Santo Antônio da Pat</w:t>
      </w:r>
      <w:r>
        <w:rPr>
          <w:b/>
          <w:sz w:val="20"/>
        </w:rPr>
        <w:t>rulha, 2019/2020 a 2022/23: Fazenda G e modelo CONAB.</w:t>
      </w:r>
    </w:p>
    <w:p w14:paraId="69A0D741" w14:textId="77777777" w:rsidR="00643609" w:rsidRDefault="000651AA">
      <w:pPr>
        <w:keepNext/>
        <w:spacing w:before="120" w:after="120"/>
        <w:jc w:val="center"/>
      </w:pPr>
      <w:r>
        <w:rPr>
          <w:noProof/>
        </w:rPr>
        <w:drawing>
          <wp:inline distT="0" distB="0" distL="0" distR="0" wp14:anchorId="627EFEAF" wp14:editId="3CFD6062">
            <wp:extent cx="5753100" cy="329071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62_reg1.png"/>
                    <pic:cNvPicPr/>
                  </pic:nvPicPr>
                  <pic:blipFill>
                    <a:blip r:embed="rId21"/>
                    <a:stretch>
                      <a:fillRect/>
                    </a:stretch>
                  </pic:blipFill>
                  <pic:spPr>
                    <a:xfrm>
                      <a:off x="0" y="0"/>
                      <a:ext cx="5753100" cy="3290719"/>
                    </a:xfrm>
                    <a:prstGeom prst="rect">
                      <a:avLst/>
                    </a:prstGeom>
                  </pic:spPr>
                </pic:pic>
              </a:graphicData>
            </a:graphic>
          </wp:inline>
        </w:drawing>
      </w:r>
    </w:p>
    <w:p w14:paraId="5A6EBAD8" w14:textId="77777777" w:rsidR="00643609" w:rsidRDefault="000651AA">
      <w:pPr>
        <w:keepLines/>
        <w:spacing w:after="240" w:line="240" w:lineRule="auto"/>
      </w:pPr>
      <w:r>
        <w:rPr>
          <w:sz w:val="20"/>
        </w:rPr>
        <w:t>Fonte: Elaboração dos autores, a partir de dados da CONAB (2024a) e informações da pesquisa.</w:t>
      </w:r>
    </w:p>
    <w:p w14:paraId="6502CF53" w14:textId="77777777" w:rsidR="00643609" w:rsidRDefault="000651AA">
      <w:pPr>
        <w:spacing w:after="0" w:line="360" w:lineRule="auto"/>
        <w:ind w:firstLine="709"/>
        <w:jc w:val="both"/>
      </w:pPr>
      <w:r>
        <w:t xml:space="preserve">Ao analisar os fatores que compõem esses custos (variáveis) observa-se que os principais itens </w:t>
      </w:r>
      <w:r>
        <w:t>responsáveis pela sua elevação durante as safras analisadas na Fazenda G de 2019/20 a 2022/23 são: fertilizantes, sementes e defensivos agrícolas. No caso dos fertilizantes, o aumento médio de 201% entre o período de análise de 2019/20 (R$1.197,64) a (R$3.</w:t>
      </w:r>
      <w:r>
        <w:t>612,12), já os defensivos tiveram um aumento de 152% no mesmo período de referência (R$1.550,88 e R$3.920,45), resultante, sobretudo, do acirramento do conflito entre Rússia e Ucrânia, que interrompeu o fornecimento global de insumos agrícolas. Esse impact</w:t>
      </w:r>
      <w:r>
        <w:t>o destacou a vulnerabilidade da produção agrícola a fatores externos, como conflitos internacionais e crises de abastecimento. No caso das sementes a elevação nos custos foi da ordem de 177% entre a safra 2019/20 (R$ 803,30) e a safra 2022/23 (R$ 2.227,27)</w:t>
      </w:r>
      <w:r>
        <w:t>.</w:t>
      </w:r>
    </w:p>
    <w:p w14:paraId="37D8A1B5" w14:textId="77777777" w:rsidR="00643609" w:rsidRDefault="000651AA">
      <w:pPr>
        <w:spacing w:after="0" w:line="360" w:lineRule="auto"/>
        <w:ind w:firstLine="709"/>
        <w:jc w:val="both"/>
      </w:pPr>
      <w:r>
        <w:t>Outro item que também contribuiu para o aumento dos custos variáveis foi a manutenção de maquinários, a necessidade de manutenção constante dos equipamentos agrícolas é fundamental para garantir o bom funcionamento e a eficiência das operações, no entant</w:t>
      </w:r>
      <w:r>
        <w:t>o, os custos associados a essas manutenções cresceram 48%, devido ao aumento dos preços das peças e serviços, o que afetou essa rubrica de custos da Fazenda G.</w:t>
      </w:r>
    </w:p>
    <w:p w14:paraId="0CC06E94" w14:textId="77777777" w:rsidR="00643609" w:rsidRDefault="000651AA">
      <w:pPr>
        <w:spacing w:after="0" w:line="360" w:lineRule="auto"/>
        <w:ind w:firstLine="709"/>
        <w:jc w:val="both"/>
      </w:pPr>
      <w:r>
        <w:lastRenderedPageBreak/>
        <w:t xml:space="preserve">O custo dos combustíveis, em particular o óleo diesel, utilizado nas máquinas agrícolas, também </w:t>
      </w:r>
      <w:r>
        <w:t>cresceu significativamente nos quatro anos analisados (40%). Especialmente nos períodos de 2021 a 2023, devido a uma combinação de fatores, como instabilidades no mercado internacional de petróleo e alta do dólar. O aumento do custo do diesel elevou as des</w:t>
      </w:r>
      <w:r>
        <w:t>pesas com operações de campo, transporte e outras atividades agrícolas que dependem diretamente do combustível, afetando os custos da Fazenda G.</w:t>
      </w:r>
    </w:p>
    <w:p w14:paraId="4D5EE4BA" w14:textId="77777777" w:rsidR="00643609" w:rsidRDefault="000651AA">
      <w:pPr>
        <w:spacing w:after="0" w:line="360" w:lineRule="auto"/>
        <w:ind w:firstLine="709"/>
        <w:jc w:val="both"/>
      </w:pPr>
      <w:r>
        <w:t>Na análise do custo total por hectare plantado, observou-se algumas diferenças em relação aos dados de custos v</w:t>
      </w:r>
      <w:r>
        <w:t>ariáveis. Na primeira safra analisada, 2019/20, a Fazenda G apresentou um custo total inferior ao da fazenda modelo da CONAB (R$7.052,40 versus R$7.881,55, ou 12% menor). No entanto, na safra de 2020/21, o custo da Fazenda G cresceu significativamente (R$9</w:t>
      </w:r>
      <w:r>
        <w:t>.496,95 versus R$8.441,06, ou 13% superior) ao modelo de referência. Cabe ressaltar que neste ano a fazenda G teve uma maior produtividade (8.855kg/ha versus 7.500 kg/ha, ou 18% superior), o que compensou o custo superior, reduzindo o custo total médio.</w:t>
      </w:r>
    </w:p>
    <w:p w14:paraId="4C799FEB" w14:textId="77777777" w:rsidR="00643609" w:rsidRDefault="000651AA">
      <w:pPr>
        <w:spacing w:after="0" w:line="360" w:lineRule="auto"/>
        <w:ind w:firstLine="709"/>
        <w:jc w:val="both"/>
      </w:pPr>
      <w:r>
        <w:t>Ob</w:t>
      </w:r>
      <w:r>
        <w:t>servou-se também, que nas safras de 2021/22 e 2022/23 a Fazenda G (R$ 9.190,43; R$ 13.287,50), voltou a ter um custo total inferior ao da CONAB (R$10.107,96; R$ 13.772,66), uma diferença percentual média de 10% e 3,6%, respectivamente. Esta diferença ocorr</w:t>
      </w:r>
      <w:r>
        <w:t>eu devido ao item renda de fatores - composto pela remuneração esperada sobre capital fixo, arrendamento e a terra própria - ser consideravelmente menor na fazenda G que na fazenda modelo da CONAB, tanto em 2021/22 (R$ 1.105,44 versus R$ 2.719,68) quanto e</w:t>
      </w:r>
      <w:r>
        <w:t>m 2022/23 (R$ 1.143,89 versus R$ 2.735,86), devido ao item arrendamento elevar os custos da CONAB.</w:t>
      </w:r>
    </w:p>
    <w:p w14:paraId="70F8C6DF" w14:textId="77777777" w:rsidR="00643609" w:rsidRDefault="000651AA">
      <w:pPr>
        <w:spacing w:after="0" w:line="360" w:lineRule="auto"/>
        <w:ind w:firstLine="709"/>
        <w:jc w:val="both"/>
      </w:pPr>
      <w:r>
        <w:t>Com base no Gráfico 3, a seguir, é possível observar o custo total em termos de sacas de arroz por hectare cultivado, informação fundamental para a tomada de</w:t>
      </w:r>
      <w:r>
        <w:t xml:space="preserve"> decisão, pois possibilita relacionar o custo total médio por unidade produzida com o preço de venda do produto no mercado. A partir destas informações, pode-se notar que na safra 2019/2020 o custo total da Fazenda G foi menor que da fazenda modelo da CONA</w:t>
      </w:r>
      <w:r>
        <w:t>B (R$ 50,02 versus 52,54, ou 5,03% menor), permanecendo menor nas safras de 2020/2021 (R$ 53,66 versus R$56,28, ou 4,88% menor) e na de 2021/2022 (R$ 65,18 versus 67,39, ou 3,39% menor) Porém, a na safra 2022/2023 o custo total por saca da fazenda G se tor</w:t>
      </w:r>
      <w:r>
        <w:t xml:space="preserve">nou maior (R$ 94,24 versus R$91,82, ou 2,63% maior) que o da CONAB. Nas quatro safras analisadas, o custo total da fazenda G foi de R$ 65,77/saca enquanto da fazenda modelo da CONAB foi de R$ </w:t>
      </w:r>
      <w:r>
        <w:lastRenderedPageBreak/>
        <w:t>67,00, uma diferença de 1,87%. Logo, pode-se observar que a dife</w:t>
      </w:r>
      <w:r>
        <w:t>rença de custos por saca, na média do período analisado não é algo tão significativo. Mesmo assim, há espaço para que melhorias, seja nos momentos da aquisição dos insumos, seja no próprio manejo da lavoura arrozeira, reduzam os custos da Fazenda G, melhor</w:t>
      </w:r>
      <w:r>
        <w:t>ando sua rentabilidade.</w:t>
      </w:r>
    </w:p>
    <w:p w14:paraId="12F24450" w14:textId="77777777" w:rsidR="00643609" w:rsidRDefault="000651AA">
      <w:pPr>
        <w:spacing w:after="0" w:line="360" w:lineRule="auto"/>
        <w:ind w:firstLine="709"/>
        <w:jc w:val="both"/>
      </w:pPr>
      <w:r>
        <w:t>A Gráfico 3 também apresenta o preço médio da saca de arroz em julho de cada ano safra (barra cinza), obtida no relatório de cotações: arroz em casca, do IRGA (2025). Pode-se notar que nas quatro safras o preço médio foi superior ao</w:t>
      </w:r>
      <w:r>
        <w:t xml:space="preserve"> custo total médio de produção da Fazenda G. Na safra 2019/20, o preço médio foi de R$81,55/saca, 63% superior ao custo total médio daquele ano (R$50,02), nas safras seguintes o preço médio foi de R$75,55, R$81,29 e R$115,32, gerando uma diferença de 40%, </w:t>
      </w:r>
      <w:r>
        <w:t>25% e 22%, em relação ao custo total de produção por saca na Fazenda G, respectivamente. Na média do período o preço de comercialização foi R$88,44 por saca, enquanto o custo total médio da Fazenda G foi de R$65,77 por saca, o que denota uma margem de R$22</w:t>
      </w:r>
      <w:r>
        <w:t>,67 por saca, um mark-up de 34,46%. Assim sendo, fica evidente que a atividade arrozeira foi rentável na média do período analisado na Fazenda G.</w:t>
      </w:r>
    </w:p>
    <w:p w14:paraId="733368BB" w14:textId="77777777" w:rsidR="00643609" w:rsidRDefault="000651AA">
      <w:pPr>
        <w:keepNext/>
        <w:keepLines/>
        <w:spacing w:before="240" w:after="120" w:line="240" w:lineRule="auto"/>
      </w:pPr>
      <w:r>
        <w:rPr>
          <w:b/>
          <w:sz w:val="20"/>
        </w:rPr>
        <w:t>Gráfico 3 - Comparativo da evolução do custo total (sacas/hectare) na produção de arroz em Santo Antônio da Pa</w:t>
      </w:r>
      <w:r>
        <w:rPr>
          <w:b/>
          <w:sz w:val="20"/>
        </w:rPr>
        <w:t>trulha e o preço de comercialização, 2019/2020 a 2022/23: Fazenda G e modelo CONAB.</w:t>
      </w:r>
    </w:p>
    <w:p w14:paraId="1645CC91" w14:textId="77777777" w:rsidR="00643609" w:rsidRDefault="000651AA">
      <w:pPr>
        <w:keepNext/>
        <w:spacing w:before="120" w:after="120"/>
        <w:jc w:val="center"/>
      </w:pPr>
      <w:r>
        <w:rPr>
          <w:noProof/>
        </w:rPr>
        <w:drawing>
          <wp:inline distT="0" distB="0" distL="0" distR="0" wp14:anchorId="5F675D27" wp14:editId="1B6D7AEF">
            <wp:extent cx="5588000" cy="310444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fras_g3.png"/>
                    <pic:cNvPicPr/>
                  </pic:nvPicPr>
                  <pic:blipFill>
                    <a:blip r:embed="rId22"/>
                    <a:stretch>
                      <a:fillRect/>
                    </a:stretch>
                  </pic:blipFill>
                  <pic:spPr>
                    <a:xfrm>
                      <a:off x="0" y="0"/>
                      <a:ext cx="5588000" cy="3104444"/>
                    </a:xfrm>
                    <a:prstGeom prst="rect">
                      <a:avLst/>
                    </a:prstGeom>
                  </pic:spPr>
                </pic:pic>
              </a:graphicData>
            </a:graphic>
          </wp:inline>
        </w:drawing>
      </w:r>
    </w:p>
    <w:p w14:paraId="00D73C05" w14:textId="77777777" w:rsidR="00AB5F50" w:rsidRDefault="00AB5F50" w:rsidP="00AB5F50">
      <w:pPr>
        <w:keepLines/>
        <w:spacing w:after="0" w:line="240" w:lineRule="auto"/>
        <w:jc w:val="both"/>
      </w:pPr>
      <w:r>
        <w:rPr>
          <w:sz w:val="20"/>
        </w:rPr>
        <w:t>Fonte: Elaboração dos autores, a partir de dados da CONAB (2024a), IRGA (2019 a 2023) e</w:t>
      </w:r>
    </w:p>
    <w:p w14:paraId="5C262FB5" w14:textId="77777777" w:rsidR="00AB5F50" w:rsidRDefault="00AB5F50" w:rsidP="00AB5F50">
      <w:pPr>
        <w:spacing w:after="0" w:line="240" w:lineRule="auto"/>
        <w:jc w:val="both"/>
      </w:pPr>
      <w:r>
        <w:rPr>
          <w:sz w:val="20"/>
        </w:rPr>
        <w:t>informações da pesquisa.</w:t>
      </w:r>
    </w:p>
    <w:p w14:paraId="70B8D9CE" w14:textId="77777777" w:rsidR="00643609" w:rsidRDefault="000651AA">
      <w:pPr>
        <w:keepNext/>
        <w:spacing w:before="360" w:after="240" w:line="360" w:lineRule="auto"/>
      </w:pPr>
      <w:r>
        <w:rPr>
          <w:b/>
        </w:rPr>
        <w:lastRenderedPageBreak/>
        <w:t>4.2 Produção e custos na soja</w:t>
      </w:r>
    </w:p>
    <w:p w14:paraId="7E88A3ED" w14:textId="77777777" w:rsidR="00643609" w:rsidRDefault="000651AA">
      <w:pPr>
        <w:spacing w:after="0" w:line="360" w:lineRule="auto"/>
        <w:ind w:firstLine="709"/>
        <w:jc w:val="both"/>
      </w:pPr>
      <w:r>
        <w:t>Ao analisar a produção de s</w:t>
      </w:r>
      <w:r>
        <w:t>oja da Fazenda G entre as safras de 2019/20 e 2022/23, observa-se que a produtividade média anual foi de 2.700 kg/ha, ou 45 sacas de 60 kg por hectare, em três das quatro safras (Gráfico 4). Esses rendimentos são iguais aos obtidos pela CONAB nas safras de</w:t>
      </w:r>
      <w:r>
        <w:t xml:space="preserve"> 2019/20 a 2020/21, já na safra de 2021/22, mesmo elevando sua produção para 3.000 kg/ha (50 sacas de 60 kg por hectare) a produtividade da Fazenda G foi 28% menor que a CONAB (64 sacas de 60 kg). Na sequência, na safra 2022/23, novamente a produtividade d</w:t>
      </w:r>
      <w:r>
        <w:t>a Fazenda G retornou a 45 sacas/ha, 42% inferior àquela da fazenda modelo da CONAB (64 sacas/ha).</w:t>
      </w:r>
    </w:p>
    <w:p w14:paraId="5B05B11C" w14:textId="77777777" w:rsidR="00643609" w:rsidRDefault="000651AA">
      <w:pPr>
        <w:keepNext/>
        <w:keepLines/>
        <w:spacing w:before="240" w:after="120" w:line="240" w:lineRule="auto"/>
      </w:pPr>
      <w:r>
        <w:rPr>
          <w:b/>
          <w:sz w:val="20"/>
        </w:rPr>
        <w:t>Gráfico 4 - Produtividade média (kg/ha) na produção de soja, safras 2019/20 a 2022/23: Fazenda G. - Santo Antônio da Patrulha/RS e CONAB - Cruz Alta/RS.</w:t>
      </w:r>
    </w:p>
    <w:p w14:paraId="04685C50" w14:textId="77777777" w:rsidR="00643609" w:rsidRDefault="000651AA">
      <w:pPr>
        <w:keepNext/>
        <w:spacing w:before="120" w:after="120"/>
        <w:jc w:val="center"/>
      </w:pPr>
      <w:r>
        <w:rPr>
          <w:noProof/>
        </w:rPr>
        <w:drawing>
          <wp:inline distT="0" distB="0" distL="0" distR="0" wp14:anchorId="5211ED87" wp14:editId="14D2318E">
            <wp:extent cx="5753100" cy="136245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65_reg6.png"/>
                    <pic:cNvPicPr/>
                  </pic:nvPicPr>
                  <pic:blipFill>
                    <a:blip r:embed="rId23"/>
                    <a:stretch>
                      <a:fillRect/>
                    </a:stretch>
                  </pic:blipFill>
                  <pic:spPr>
                    <a:xfrm>
                      <a:off x="0" y="0"/>
                      <a:ext cx="5753100" cy="1362457"/>
                    </a:xfrm>
                    <a:prstGeom prst="rect">
                      <a:avLst/>
                    </a:prstGeom>
                  </pic:spPr>
                </pic:pic>
              </a:graphicData>
            </a:graphic>
          </wp:inline>
        </w:drawing>
      </w:r>
    </w:p>
    <w:p w14:paraId="32AA1413" w14:textId="77777777" w:rsidR="00643609" w:rsidRDefault="000651AA">
      <w:pPr>
        <w:keepLines/>
        <w:spacing w:after="240" w:line="240" w:lineRule="auto"/>
      </w:pPr>
      <w:r>
        <w:rPr>
          <w:sz w:val="20"/>
        </w:rPr>
        <w:t>Fon</w:t>
      </w:r>
      <w:r>
        <w:rPr>
          <w:sz w:val="20"/>
        </w:rPr>
        <w:t>te: Elaboração dos autores, a partir de dados da CONAB (2024b) e informações da pesquisa.</w:t>
      </w:r>
    </w:p>
    <w:p w14:paraId="41D0DA6B" w14:textId="77777777" w:rsidR="00643609" w:rsidRDefault="000651AA">
      <w:pPr>
        <w:spacing w:after="0" w:line="360" w:lineRule="auto"/>
        <w:ind w:firstLine="709"/>
        <w:jc w:val="both"/>
      </w:pPr>
      <w:r>
        <w:t>A diferença de produtividade da lavoura de soja entre a Fazenda G e a Fazenda modelo estimada pela CONAB pode ser atribuída, em grande parte, a localização geográfica</w:t>
      </w:r>
      <w:r>
        <w:t xml:space="preserve"> das respectivas unidades produtivas, enquanto a Fazenda G está localizada em Santo Antônio da Patrulha, a pesquisa da CONAB teve por base a produção da região de Cruz Alta-RS, área mais propícia ao cultivo da oleaginosa.</w:t>
      </w:r>
    </w:p>
    <w:p w14:paraId="04581996" w14:textId="77777777" w:rsidR="00643609" w:rsidRDefault="000651AA">
      <w:pPr>
        <w:spacing w:after="0" w:line="360" w:lineRule="auto"/>
        <w:ind w:firstLine="709"/>
        <w:jc w:val="both"/>
      </w:pPr>
      <w:r>
        <w:t>O boletim de divulgação da produçã</w:t>
      </w:r>
      <w:r>
        <w:t>o do IRGA (2022) indica uma produtividade média das lavouras de soja na safra de 2021/22 no município de Santo Antônio da Patrulha na ordem de 3.240 kg/ha (54 sacas/ha), enquanto a média estadual foi de 2.656 kg/ha cerca (44 sacas/ha), algo bem mais próxim</w:t>
      </w:r>
      <w:r>
        <w:t>o ao desempenho da fazenda G (50 sacas/ha) no referido ano. Na 2022/23, a produtividade média das lavouras de soja no município de Santo Antônio da Patrulha (IRGA, 2023) foi de 3.120 kg/ha (52 sacas/ha) e no Estado (43 sacas/ha), também bem mais próximo ao</w:t>
      </w:r>
      <w:r>
        <w:t xml:space="preserve"> desempenho da Fazenda G (44 sacas/ha).</w:t>
      </w:r>
    </w:p>
    <w:p w14:paraId="42DA3362" w14:textId="77777777" w:rsidR="00643609" w:rsidRDefault="000651AA">
      <w:pPr>
        <w:spacing w:after="0" w:line="360" w:lineRule="auto"/>
        <w:ind w:firstLine="709"/>
        <w:jc w:val="both"/>
      </w:pPr>
      <w:r>
        <w:lastRenderedPageBreak/>
        <w:t xml:space="preserve">Ademais, fatores climáticos que ajudaram a explicar o motivo da produtividade da lavoura orizícola ser menor que da fazenda modelo da CONAB em três dos quatro anos analisados, também se fazem presentes na análise da </w:t>
      </w:r>
      <w:r>
        <w:t>produção de soja da Fazenda G. Dentre estes, pode-se destacar: a escassez de chuvas, que caracterizou a estiagem de 2020/21, devido às características do fenômeno La Niña, ocorreram também na safra de 2022/23, conforme os boletins do IRGA (2022 e 2023). Es</w:t>
      </w:r>
      <w:r>
        <w:t>sas condições climáticas adversas geram, muitas vezes, a necessidade de replantio, o que aumenta os custos da lavoura, ou ainda, uma produção menor, o que ajuda a explicar as variações nos custos da fazenda em relação ao modelo da CONAB.</w:t>
      </w:r>
    </w:p>
    <w:p w14:paraId="47F210AA" w14:textId="77777777" w:rsidR="00643609" w:rsidRDefault="000651AA">
      <w:pPr>
        <w:spacing w:after="0" w:line="360" w:lineRule="auto"/>
        <w:ind w:firstLine="709"/>
        <w:jc w:val="both"/>
      </w:pPr>
      <w:r>
        <w:t>A Gráfico 5 aprese</w:t>
      </w:r>
      <w:r>
        <w:t>nta os custos da Fazenda G e da fazenda modelo da CONAB – Cruz Alta/RS (2024b) para a produção de soja, ao analisar os dados, nota-se uma maior variabilidade nos custos de soja em relação ao custo do arroz. Nas Safras de 2019/20, 2020/21 e 2021/22 a Fazend</w:t>
      </w:r>
      <w:r>
        <w:t xml:space="preserve">a G apresentou um custo variável (R$ 3.363,20, R$5.352,96, R$5.649,46) superior ao da fazenda modelo da CONAB (R$1.884,40; R$ 1.916,29; R$ 2.710,28), 78%, 179% e 108%, respectivamente. De outra parte, na safra de 2022/23, o custo variável total da Fazenda </w:t>
      </w:r>
      <w:r>
        <w:t>G (R$ 6.081,19) foi 3,1% menor que o da CONAB (R$ 6.269,80). Na média do período analisado, o custo variável da Fazenda G (R$ 5.111,70) foi 60% superior ao da CONAB (R$ 3.195,17), puxado, principalmente, pela diferença nos três primeiros anos analisados.</w:t>
      </w:r>
    </w:p>
    <w:p w14:paraId="2C763056" w14:textId="77777777" w:rsidR="00643609" w:rsidRDefault="000651AA">
      <w:pPr>
        <w:keepNext/>
        <w:keepLines/>
        <w:spacing w:before="240" w:after="120" w:line="240" w:lineRule="auto"/>
      </w:pPr>
      <w:r>
        <w:rPr>
          <w:b/>
          <w:sz w:val="20"/>
        </w:rPr>
        <w:lastRenderedPageBreak/>
        <w:t>Gráfico 5 - Comparativo da evolução dos custos na produção de soja, safras 2019/20 a 2022/23: Fazenda G. - Santo Antônio da Patrulha/RS e CONAB - Cruz Alta/RS.</w:t>
      </w:r>
    </w:p>
    <w:p w14:paraId="4D292045" w14:textId="77777777" w:rsidR="00643609" w:rsidRDefault="000651AA">
      <w:pPr>
        <w:keepNext/>
        <w:spacing w:before="120" w:after="120"/>
        <w:jc w:val="center"/>
      </w:pPr>
      <w:r>
        <w:rPr>
          <w:noProof/>
        </w:rPr>
        <w:drawing>
          <wp:inline distT="0" distB="0" distL="0" distR="0" wp14:anchorId="5EC3E26F" wp14:editId="1BD2B1F7">
            <wp:extent cx="5753100" cy="278828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66_reg14.png"/>
                    <pic:cNvPicPr/>
                  </pic:nvPicPr>
                  <pic:blipFill>
                    <a:blip r:embed="rId24"/>
                    <a:stretch>
                      <a:fillRect/>
                    </a:stretch>
                  </pic:blipFill>
                  <pic:spPr>
                    <a:xfrm>
                      <a:off x="0" y="0"/>
                      <a:ext cx="5753100" cy="2788285"/>
                    </a:xfrm>
                    <a:prstGeom prst="rect">
                      <a:avLst/>
                    </a:prstGeom>
                  </pic:spPr>
                </pic:pic>
              </a:graphicData>
            </a:graphic>
          </wp:inline>
        </w:drawing>
      </w:r>
    </w:p>
    <w:p w14:paraId="3DC7C66A" w14:textId="77777777" w:rsidR="00643609" w:rsidRDefault="000651AA">
      <w:pPr>
        <w:keepLines/>
        <w:spacing w:after="240" w:line="240" w:lineRule="auto"/>
      </w:pPr>
      <w:r>
        <w:rPr>
          <w:sz w:val="20"/>
        </w:rPr>
        <w:t>Fonte: Elaboração dos autores, a partir de dados da CONAB (2024b) e informações da pesquisa.</w:t>
      </w:r>
    </w:p>
    <w:p w14:paraId="3413B80F" w14:textId="77777777" w:rsidR="00643609" w:rsidRDefault="000651AA">
      <w:pPr>
        <w:spacing w:after="0" w:line="360" w:lineRule="auto"/>
        <w:ind w:firstLine="709"/>
        <w:jc w:val="both"/>
      </w:pPr>
      <w:r>
        <w:t>E</w:t>
      </w:r>
      <w:r>
        <w:t>m relação aos custos fixos, a Fazenda G apresentou cifras superiores por hectare produzido nas três primeiras safras, 2019/20 a 2021/22, (R$ 393,61; R$ 437,99; R$ 504,49;) contra (R$ 319,96; R$ 345,99; R$ 382,70;) da CONAB. Porém, a partir da safra 2022/23</w:t>
      </w:r>
      <w:r>
        <w:t xml:space="preserve"> o custo fixo da CONAB cresceu vertiginosamente, (R$ 1.657,87) ao incorporar o custo de arrendamento, antes não apresentado (CONAB, 2024b) e então supera o da Fazenda G (R$ 701,47).</w:t>
      </w:r>
    </w:p>
    <w:p w14:paraId="7388F256" w14:textId="77777777" w:rsidR="00643609" w:rsidRDefault="000651AA">
      <w:pPr>
        <w:spacing w:after="0" w:line="360" w:lineRule="auto"/>
        <w:ind w:firstLine="709"/>
        <w:jc w:val="both"/>
      </w:pPr>
      <w:r>
        <w:t>Em relação ao custo total por hectare plantado, observou-se um padrão simi</w:t>
      </w:r>
      <w:r>
        <w:t>lar ao dos custos variáveis e custos fixos no decorrer das safras. Na primeira safra analisada, 2019/20 a Fazenda G apresentou um custo total superior ao da fazenda modelo da CONAB (R$ 4.280,39 versus R$ 2.808,50), o mesmo ocorreu nas duas safras seguintes</w:t>
      </w:r>
      <w:r>
        <w:t>. Em 2020/21 (R$ 6.317,72 versus R$ 2.872,00) e 2021/22 (R$ 7.259,38 versus R$ 3.264,05). No entanto, na última safra analisada, 2022/23, percebeu-se que a Fazenda G, teve um custo total inferior ao da CONAB (R$ 7.803,81 versus R$ 8.382,32).</w:t>
      </w:r>
    </w:p>
    <w:p w14:paraId="67C5B3BE" w14:textId="77777777" w:rsidR="00643609" w:rsidRDefault="000651AA">
      <w:pPr>
        <w:spacing w:after="0" w:line="360" w:lineRule="auto"/>
        <w:ind w:firstLine="709"/>
        <w:jc w:val="both"/>
      </w:pPr>
      <w:r>
        <w:t>A Gráfico 6 ap</w:t>
      </w:r>
      <w:r>
        <w:t>resenta as informações concernentes ao custo total de produção de soja por saca de 60kg na fazenda G e na fazenda modelo da CONAB. Observa-se que a fazenda G tem custos totais por saca (R$ 117,19; R$ 162,47; R$ 145,19; R$ 173,42) superiores a fazenda model</w:t>
      </w:r>
      <w:r>
        <w:t xml:space="preserve">o da CONAB (R$ 62,41; R$ 63,82; R$ 72,53; R$ 129,41). Essas cifras são consideráveis, e, em média, representa um </w:t>
      </w:r>
      <w:r>
        <w:lastRenderedPageBreak/>
        <w:t>custo total de produção por saca da fazenda G de R$149,56 versus R$82,04 (82% maior) da fazenda média CONAB-Cruz Alta.</w:t>
      </w:r>
    </w:p>
    <w:p w14:paraId="268D6C72" w14:textId="77777777" w:rsidR="00643609" w:rsidRDefault="000651AA">
      <w:pPr>
        <w:spacing w:after="0" w:line="360" w:lineRule="auto"/>
        <w:ind w:firstLine="709"/>
        <w:jc w:val="both"/>
      </w:pPr>
      <w:r>
        <w:t>Logo, observa-se uma dif</w:t>
      </w:r>
      <w:r>
        <w:t>erença considerável de custos por saca de soja entre a Fazenda G e a modelo da CONAB, resultado, sobretudo, da já referida diferença de produtividade (46,25 sacas/ha versus 54,50 sacas/ha) na média do período. Assim sendo, na lavoura de soja é ainda mais i</w:t>
      </w:r>
      <w:r>
        <w:t>mportante que haja um maior controle e planejamento em todas as etapas da produção e comercialização que visem reduzir custos e melhorar sua rentabilidade, na Fazenda G.</w:t>
      </w:r>
    </w:p>
    <w:p w14:paraId="1A8624E3" w14:textId="77777777" w:rsidR="00643609" w:rsidRDefault="000651AA">
      <w:pPr>
        <w:spacing w:after="0" w:line="360" w:lineRule="auto"/>
        <w:ind w:firstLine="709"/>
        <w:jc w:val="both"/>
      </w:pPr>
      <w:r>
        <w:t>Apesar desses custos mais elevados na lavoura de soja, os dados de preços médios extra</w:t>
      </w:r>
      <w:r>
        <w:t>ídos do relatório do Centro de Estudos Avançados em Economia Aplicada (CEPEA, 2025), apresentados na Gráfico 6, indicam que a margem de contribuição do produtor de soja da Fazenda G foi positiva em todos os anos considerados. Porém, ao analisarmos os preço</w:t>
      </w:r>
      <w:r>
        <w:t>s médios por ano safra (R$ 117,28; R$ 170,39; R$ 190,67; R$ 174,43) nota-se que anos safra como 2019/20 e 2022/23 o lucro por saca foi bastante baixo (R$0,09/saca e R$1,01/saca).</w:t>
      </w:r>
    </w:p>
    <w:p w14:paraId="2741D948" w14:textId="77777777" w:rsidR="00643609" w:rsidRDefault="000651AA">
      <w:pPr>
        <w:spacing w:after="0" w:line="360" w:lineRule="auto"/>
        <w:ind w:firstLine="709"/>
        <w:jc w:val="both"/>
      </w:pPr>
      <w:r>
        <w:t>Estes resultados devem ser considerados com cautela, pois os preços apresenta</w:t>
      </w:r>
      <w:r>
        <w:t>dos são medias para o mês de julho de cada ano, próximo do momento da venda obtida junto ao produtor responsável pela Fazenda G, e não representam necessariamente o preço de comercialização da totalidade da produção. Porém, eles indicam que para a produção</w:t>
      </w:r>
      <w:r>
        <w:t xml:space="preserve"> de soja o produtor da região de Santo Antônio da Patrulha deve estar muito bem-preparado, pois decisões equivocadas de momento de comercialização ou de compras de insumos podem erodir toda a margem da atividade.</w:t>
      </w:r>
    </w:p>
    <w:p w14:paraId="24395734" w14:textId="77777777" w:rsidR="00643609" w:rsidRDefault="000651AA">
      <w:pPr>
        <w:keepNext/>
        <w:keepLines/>
        <w:spacing w:before="240" w:after="120" w:line="240" w:lineRule="auto"/>
      </w:pPr>
      <w:r>
        <w:rPr>
          <w:b/>
          <w:sz w:val="20"/>
        </w:rPr>
        <w:lastRenderedPageBreak/>
        <w:t xml:space="preserve">Gráfico 6 - Comparativo da evolução do </w:t>
      </w:r>
      <w:r>
        <w:rPr>
          <w:b/>
          <w:sz w:val="20"/>
        </w:rPr>
        <w:t>custo total por saca na produção de soja, 2019/2020 a 2022/23 e seu preço de venda (CEPEA): Fazenda G - Santo Antônio da Patrulha/RS e CONAB - Cruz Alta/RS.</w:t>
      </w:r>
    </w:p>
    <w:p w14:paraId="46D33AA2" w14:textId="77777777" w:rsidR="00643609" w:rsidRDefault="000651AA">
      <w:pPr>
        <w:keepNext/>
        <w:spacing w:before="120" w:after="120"/>
        <w:jc w:val="center"/>
      </w:pPr>
      <w:r>
        <w:rPr>
          <w:noProof/>
        </w:rPr>
        <w:drawing>
          <wp:inline distT="0" distB="0" distL="0" distR="0" wp14:anchorId="7D020AF2" wp14:editId="526AEB49">
            <wp:extent cx="5588000" cy="310444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fras_g6.png"/>
                    <pic:cNvPicPr/>
                  </pic:nvPicPr>
                  <pic:blipFill>
                    <a:blip r:embed="rId25"/>
                    <a:stretch>
                      <a:fillRect/>
                    </a:stretch>
                  </pic:blipFill>
                  <pic:spPr>
                    <a:xfrm>
                      <a:off x="0" y="0"/>
                      <a:ext cx="5588000" cy="3104444"/>
                    </a:xfrm>
                    <a:prstGeom prst="rect">
                      <a:avLst/>
                    </a:prstGeom>
                  </pic:spPr>
                </pic:pic>
              </a:graphicData>
            </a:graphic>
          </wp:inline>
        </w:drawing>
      </w:r>
    </w:p>
    <w:p w14:paraId="508F8522" w14:textId="0A24975E" w:rsidR="00643609" w:rsidRDefault="000651AA" w:rsidP="00AB5F50">
      <w:pPr>
        <w:keepLines/>
        <w:spacing w:after="240" w:line="240" w:lineRule="auto"/>
      </w:pPr>
      <w:r>
        <w:rPr>
          <w:sz w:val="20"/>
        </w:rPr>
        <w:t>Fonte: Elaboração dos autores, a partir de dados da CONAB (2024b), CEPEA (2025) e informações da</w:t>
      </w:r>
      <w:r w:rsidR="00AB5F50">
        <w:rPr>
          <w:sz w:val="20"/>
        </w:rPr>
        <w:t xml:space="preserve"> </w:t>
      </w:r>
      <w:r>
        <w:rPr>
          <w:sz w:val="20"/>
        </w:rPr>
        <w:t>pesquisa.</w:t>
      </w:r>
    </w:p>
    <w:p w14:paraId="2CF34477" w14:textId="77777777" w:rsidR="00643609" w:rsidRDefault="000651AA">
      <w:pPr>
        <w:spacing w:after="0" w:line="360" w:lineRule="auto"/>
        <w:ind w:firstLine="709"/>
        <w:jc w:val="both"/>
      </w:pPr>
      <w:r>
        <w:t>Por fim, cabe ressaltar que a rentabilidade da Fazenda G advém do mix total de produção e não de uma cultura em particular. Mas, os resultados do presente trabalho indicam que os fatores climáticos, quando favoráveis, podem elevar substancialment</w:t>
      </w:r>
      <w:r>
        <w:t xml:space="preserve">e a lucratividade, porém quando adversos podem trazer prejuízos consideráveis ao agricultor. Assim sendo, o planejamento da atividade levando em considerações os fatores externos, como os climáticos e os que afetam os preços de venda, é fundamental para a </w:t>
      </w:r>
      <w:r>
        <w:t>manutenção do produtor nessas atividades. Dessa forma, ficou claro que produzir alimentos não é uma tarefa fácil (Tejon, 2023), tendo o presente trabalho busca contribuir com informações relevantes para tomada de decisão mais assertiva para a sustentabilid</w:t>
      </w:r>
      <w:r>
        <w:t>ade econômica da Fazenda G.</w:t>
      </w:r>
    </w:p>
    <w:p w14:paraId="0B965E47" w14:textId="77777777" w:rsidR="00643609" w:rsidRDefault="000651AA">
      <w:pPr>
        <w:keepNext/>
        <w:spacing w:before="360" w:after="240" w:line="360" w:lineRule="auto"/>
      </w:pPr>
      <w:r>
        <w:rPr>
          <w:b/>
        </w:rPr>
        <w:t>5 CONSIDERAÇÕES FINAIS</w:t>
      </w:r>
    </w:p>
    <w:p w14:paraId="22AB837D" w14:textId="77777777" w:rsidR="00643609" w:rsidRDefault="000651AA">
      <w:pPr>
        <w:spacing w:after="0" w:line="360" w:lineRule="auto"/>
        <w:ind w:firstLine="709"/>
        <w:jc w:val="both"/>
      </w:pPr>
      <w:r>
        <w:t xml:space="preserve">No presente trabalho buscou-se comparar os custos e a produtividade da Fazenda G com os modelos da CONAB (2024a, 2024b) nas safras de 2019/20 a 2022/23. Em geral, observou-se que, para a cultura do arroz, </w:t>
      </w:r>
      <w:r>
        <w:t xml:space="preserve">a produtividade da Fazenda G, em média, apresentou resultados bastante semelhantes ao modelo da CONAB e que a atividade apresentou margem amplamente positiva. Na média, do </w:t>
      </w:r>
      <w:r>
        <w:lastRenderedPageBreak/>
        <w:t xml:space="preserve">período, o preço de comercialização foi R$88,44 por saca, enquanto o custo total da </w:t>
      </w:r>
      <w:r>
        <w:t>Fazenda G foi de R$ 65,77 por saca, o que denota uma margem de R$ 22,67 por saca, um mark-up de 32% sobre o custo total de produção.</w:t>
      </w:r>
    </w:p>
    <w:p w14:paraId="28E02702" w14:textId="77777777" w:rsidR="00643609" w:rsidRDefault="000651AA">
      <w:pPr>
        <w:spacing w:after="0" w:line="360" w:lineRule="auto"/>
        <w:ind w:firstLine="709"/>
        <w:jc w:val="both"/>
      </w:pPr>
      <w:r>
        <w:t>Para o caso da soja, a fazenda G apresentou uma produtividade média bastante inferior (46,25 sacas/ha versus 54,50 sacas/ha</w:t>
      </w:r>
      <w:r>
        <w:t>) e, por isso, custos médios totais também mais elevados (R$ 149,56 versus R$ 82,04 na média do período) reduzindo substancialmente a rentabilidade da atividade. Considerando os preços médios, a produção de soja na Fazenda G em Santo Antônio da Patrulha, a</w:t>
      </w:r>
      <w:r>
        <w:t>presentou anos safras como 2019/20 e 2022/23 em que os custos totais atingiram praticamente o ponto de equilíbrio, com margem líquida próxima de zero. Nas safras 2020/21 e 2021/22 a relação custos totais médios versus preço médio foram mais favoráveis, ger</w:t>
      </w:r>
      <w:r>
        <w:t>ando, porém, na média do período (R$ 149,56 versus R$ 163,19) um mark-up de 9% sobre o custo total de produção, bem menor que na lavoura arrozeira.</w:t>
      </w:r>
    </w:p>
    <w:p w14:paraId="3A452DFA" w14:textId="77777777" w:rsidR="00643609" w:rsidRDefault="000651AA">
      <w:pPr>
        <w:spacing w:after="0" w:line="360" w:lineRule="auto"/>
        <w:ind w:firstLine="709"/>
        <w:jc w:val="both"/>
      </w:pPr>
      <w:r>
        <w:t>Ademais, cabe ressaltar que a rentabilidade da Fazenda G advém do mix total de produção e não de uma cultura</w:t>
      </w:r>
      <w:r>
        <w:t xml:space="preserve"> em particular, mas esses resultados reforçam a importância do planejamento da atividade produtiva e do momento de comercialização por parte do produtor rural. De fato, o acompanhamento das flutuações de preços pode proporcionar uma janela de oportunidade </w:t>
      </w:r>
      <w:r>
        <w:t>para a comercialização no momento mais favorável e, dessa forma, maximizar sua rentabilidade. Os resultados indicam ainda, forte dependência da atividade primária dos fatores climáticos e, portanto, estes devem ser considerados no planejamento da produção.</w:t>
      </w:r>
    </w:p>
    <w:p w14:paraId="0B0196C8" w14:textId="77777777" w:rsidR="00643609" w:rsidRDefault="000651AA">
      <w:pPr>
        <w:spacing w:after="0" w:line="360" w:lineRule="auto"/>
        <w:ind w:firstLine="709"/>
        <w:jc w:val="both"/>
      </w:pPr>
      <w:r>
        <w:t>Por fim, recomenda-se que a Fazenda G explore ainda mais possibilidades de redução de custos (fixos e variáveis), implemente melhores práticas de manejo agrícola para sua produção e busque através de uma gestão mais personalizada para a comercialização (v</w:t>
      </w:r>
      <w:r>
        <w:t>enda dos produtos) tornar a operação mais lucrativa e sustentável. As informações geradas neste trabalho pretenderam auxiliar nesse sentido.</w:t>
      </w:r>
    </w:p>
    <w:p w14:paraId="57022AA8" w14:textId="77777777" w:rsidR="00643609" w:rsidRDefault="000651AA">
      <w:pPr>
        <w:keepNext/>
        <w:spacing w:before="360" w:after="240" w:line="240" w:lineRule="auto"/>
      </w:pPr>
      <w:r>
        <w:rPr>
          <w:b/>
        </w:rPr>
        <w:t>REFERÊNCIAS</w:t>
      </w:r>
    </w:p>
    <w:p w14:paraId="092B4B1F" w14:textId="77777777" w:rsidR="00643609" w:rsidRDefault="000651AA">
      <w:pPr>
        <w:spacing w:after="0" w:line="240" w:lineRule="auto"/>
        <w:jc w:val="both"/>
      </w:pPr>
      <w:r>
        <w:t>ASSAF, Alexandre Neto.</w:t>
      </w:r>
      <w:r>
        <w:rPr>
          <w:b/>
        </w:rPr>
        <w:t xml:space="preserve"> Finanças corporativas e valor</w:t>
      </w:r>
      <w:r>
        <w:t>. São Paulo: Atlas, 2010.</w:t>
      </w:r>
    </w:p>
    <w:p w14:paraId="5CEDA0CD" w14:textId="77777777" w:rsidR="00643609" w:rsidRDefault="000651AA">
      <w:pPr>
        <w:spacing w:after="240" w:line="240" w:lineRule="auto"/>
      </w:pPr>
      <w:r>
        <w:t xml:space="preserve">Disponível em: </w:t>
      </w:r>
      <w:r>
        <w:t>https://integrada.minhabiblioteca.com.br/reader/books/9788597026184/pages/recent. Acesso em: 01 dez. 2024.</w:t>
      </w:r>
    </w:p>
    <w:p w14:paraId="233ECFB0" w14:textId="77777777" w:rsidR="00643609" w:rsidRDefault="000651AA">
      <w:pPr>
        <w:spacing w:after="240" w:line="240" w:lineRule="auto"/>
      </w:pPr>
      <w:r>
        <w:lastRenderedPageBreak/>
        <w:t>BRASIL.</w:t>
      </w:r>
      <w:r>
        <w:rPr>
          <w:b/>
        </w:rPr>
        <w:t xml:space="preserve"> Lei nº 13.709, de 14 de agosto de 2018</w:t>
      </w:r>
      <w:r>
        <w:t>. Dispõe sobre a proteção de dados pessoais e altera a Lei nº 12.965, de 23 de abril de 2014 (Marco Civ</w:t>
      </w:r>
      <w:r>
        <w:t>il da Internet). Disponível em: https://www.planalto.gov.br/ccivil_03/_ato2015-2018/2018/lei/l13709.htm. Acesso em: 05 set. 2024.</w:t>
      </w:r>
    </w:p>
    <w:p w14:paraId="3BB2460A" w14:textId="77777777" w:rsidR="00643609" w:rsidRDefault="000651AA">
      <w:pPr>
        <w:spacing w:after="240" w:line="240" w:lineRule="auto"/>
      </w:pPr>
      <w:r>
        <w:t>CEPEA - Centro de Estudos Avançados em Economia Aplicada.</w:t>
      </w:r>
      <w:r>
        <w:rPr>
          <w:b/>
        </w:rPr>
        <w:t xml:space="preserve"> Indicador de soja</w:t>
      </w:r>
      <w:r>
        <w:t>. Disponível em: https://www.cepea.esalq.usp.br/br/</w:t>
      </w:r>
      <w:r>
        <w:t>indicador/soja.aspx. Acesso em: 19 jan. 2025.</w:t>
      </w:r>
    </w:p>
    <w:p w14:paraId="4135C2D4" w14:textId="77777777" w:rsidR="00643609" w:rsidRDefault="000651AA">
      <w:pPr>
        <w:spacing w:after="240" w:line="240" w:lineRule="auto"/>
      </w:pPr>
      <w:r>
        <w:t>CONAB – Companhia Nacional de Abastecimento.</w:t>
      </w:r>
      <w:r>
        <w:rPr>
          <w:b/>
        </w:rPr>
        <w:t xml:space="preserve"> Cultura do arroz</w:t>
      </w:r>
      <w:r>
        <w:t>. Brasília: Conab, 2015. Disponível em: https://biblioteca.conab.gov.br/phl82/pdf/2015_Cultura_do_arroz.pdf. Acesso em: 20 abr. 2024.</w:t>
      </w:r>
    </w:p>
    <w:p w14:paraId="468006A6" w14:textId="77777777" w:rsidR="00643609" w:rsidRDefault="000651AA">
      <w:pPr>
        <w:spacing w:after="240" w:line="240" w:lineRule="auto"/>
      </w:pPr>
      <w:r>
        <w:t>CONAB – Companh</w:t>
      </w:r>
      <w:r>
        <w:t>ia Nacional de Abastecimento.</w:t>
      </w:r>
      <w:r>
        <w:rPr>
          <w:b/>
        </w:rPr>
        <w:t xml:space="preserve"> Norma: metodologia de custo de produção</w:t>
      </w:r>
      <w:r>
        <w:t>. Brasília: Conab, 2021. Disponível em: https://www.conab.gov.br/images/arquivos/normativos/30000_sistema_de_operacoe s/30.302_Norma_Metodologia_de_Custo_de_Producao.pdf. Acesso em: 25 fe</w:t>
      </w:r>
      <w:r>
        <w:t>v. 2024.</w:t>
      </w:r>
    </w:p>
    <w:p w14:paraId="388BDAA8" w14:textId="77777777" w:rsidR="00643609" w:rsidRDefault="000651AA">
      <w:pPr>
        <w:spacing w:after="240" w:line="240" w:lineRule="auto"/>
      </w:pPr>
      <w:r>
        <w:t>CONAB – Companhia Nacional de Abastecimento.</w:t>
      </w:r>
      <w:r>
        <w:rPr>
          <w:b/>
        </w:rPr>
        <w:t xml:space="preserve"> Planilhas de custo de produção arroz irrigado, série histórica 2002 a 2024</w:t>
      </w:r>
      <w:r>
        <w:t>. Brasil, 2024a. Disponível em: https://www.conab.gov.br/info-agro/custos-de-producao/planilhas-de-custo-deproducao/itemlist/cat</w:t>
      </w:r>
      <w:r>
        <w:t>egory/791-arroz. Acesso em: 12 fev. 2024.</w:t>
      </w:r>
    </w:p>
    <w:p w14:paraId="68503C64" w14:textId="77777777" w:rsidR="00643609" w:rsidRDefault="000651AA">
      <w:pPr>
        <w:spacing w:after="240" w:line="240" w:lineRule="auto"/>
      </w:pPr>
      <w:r>
        <w:t>CONAB – Companhia Nacional de Abastecimento.</w:t>
      </w:r>
      <w:r>
        <w:rPr>
          <w:b/>
        </w:rPr>
        <w:t xml:space="preserve"> Planilhas de custo de produção soja, série histórica 1997 a 2024</w:t>
      </w:r>
      <w:r>
        <w:t>. Brasil, 2024b. Disponível em: https://www.conab.gov.br/infoagro/custos-de-producao/planilhas-de-custo-d</w:t>
      </w:r>
      <w:r>
        <w:t>e-producao/itemlist/category/824-soja. Acesso em: 12 fev. 2024.</w:t>
      </w:r>
    </w:p>
    <w:p w14:paraId="6929AE9A" w14:textId="77777777" w:rsidR="00643609" w:rsidRDefault="000651AA">
      <w:pPr>
        <w:spacing w:after="240" w:line="240" w:lineRule="auto"/>
      </w:pPr>
      <w:r>
        <w:t>CONAB - Companhia Nacional De Abastecimento.</w:t>
      </w:r>
      <w:r>
        <w:rPr>
          <w:b/>
        </w:rPr>
        <w:t xml:space="preserve"> Safra Brasileira de Grãos -2024</w:t>
      </w:r>
      <w:r>
        <w:t>. Brasil, 2024c. Disponível em: https://www.conab.gov.br/info-agro/safras/graos. Acesso em: 08 set. 2024.</w:t>
      </w:r>
    </w:p>
    <w:p w14:paraId="7F1C47D2" w14:textId="77777777" w:rsidR="00643609" w:rsidRDefault="000651AA">
      <w:pPr>
        <w:spacing w:after="240" w:line="240" w:lineRule="auto"/>
      </w:pPr>
      <w:r>
        <w:t>IBGE – Ins</w:t>
      </w:r>
      <w:r>
        <w:t>tituto Brasileiro de Geografia e Estatística.</w:t>
      </w:r>
      <w:r>
        <w:rPr>
          <w:b/>
        </w:rPr>
        <w:t xml:space="preserve"> LSPA - Levantamento Sistemático da Produção Agrícola</w:t>
      </w:r>
      <w:r>
        <w:t>. Tabela 6588. Disponível em: https://sidra.ibge.gov.br/tabela/6588#resultado. Acesso em: 23 ago. 2024.</w:t>
      </w:r>
    </w:p>
    <w:p w14:paraId="7AFC497B" w14:textId="77777777" w:rsidR="00643609" w:rsidRDefault="000651AA">
      <w:pPr>
        <w:spacing w:after="240" w:line="240" w:lineRule="auto"/>
      </w:pPr>
      <w:r>
        <w:t>IBGE - Instituto Brasileiro de Geografia e Estatística</w:t>
      </w:r>
      <w:r>
        <w:t>.</w:t>
      </w:r>
      <w:r>
        <w:rPr>
          <w:b/>
        </w:rPr>
        <w:t xml:space="preserve"> Produto Interno Bruto dos Municípios, Santo Antônio da Patrulha, 2022</w:t>
      </w:r>
      <w:r>
        <w:t>. Disponível em: https://cidades.ibge.gov.br/brasil/rs/santoantonio-da-patrulha/pesquisa/14/10193? tipo=ranking&amp;indicador=10287. Acesso em: 06 set. 2024.</w:t>
      </w:r>
    </w:p>
    <w:p w14:paraId="3B9C002D" w14:textId="77777777" w:rsidR="00643609" w:rsidRDefault="000651AA">
      <w:pPr>
        <w:spacing w:after="240" w:line="240" w:lineRule="auto"/>
      </w:pPr>
      <w:r>
        <w:t>IPEA - Instituto De Pesquisa Ec</w:t>
      </w:r>
      <w:r>
        <w:t>onômica Aplicada.</w:t>
      </w:r>
      <w:r>
        <w:rPr>
          <w:b/>
        </w:rPr>
        <w:t xml:space="preserve"> Impacto das chuvas no setor agropecuário do Rio Grande do Sul</w:t>
      </w:r>
      <w:r>
        <w:t>: revisão da produção do estado e nova estimativa para o PIB agropecuário brasileiro. Carta de Conjuntura, jul. 2024. Disponível em: https://www.ipea.gov.br/cartadeconjuntura/in</w:t>
      </w:r>
      <w:r>
        <w:t>dex.php/category/agropecuaria/. Acesso em: 05 set. 2024. IRGA – Instituto Rio Grandense do Arroz.</w:t>
      </w:r>
      <w:r>
        <w:rPr>
          <w:b/>
        </w:rPr>
        <w:t xml:space="preserve"> Boletim de resultados</w:t>
      </w:r>
      <w:r>
        <w:t>. Disponível em: https://admin.irga.rs.gov.br/upload/arquivos/202308/23105302-boletim-de-resultados.pdf. Acesso em: 19 jan. 2025.</w:t>
      </w:r>
    </w:p>
    <w:p w14:paraId="6ABF8800" w14:textId="77777777" w:rsidR="00643609" w:rsidRDefault="000651AA">
      <w:pPr>
        <w:spacing w:after="240" w:line="240" w:lineRule="auto"/>
      </w:pPr>
      <w:r>
        <w:lastRenderedPageBreak/>
        <w:t xml:space="preserve">IRGA – </w:t>
      </w:r>
      <w:r>
        <w:t>Instituto Rio Grandense do Arroz.</w:t>
      </w:r>
      <w:r>
        <w:rPr>
          <w:b/>
        </w:rPr>
        <w:t xml:space="preserve"> Cotações</w:t>
      </w:r>
      <w:r>
        <w:t>. Disponível em: https://irga.rs.gov.br/cotacoes. Acesso em: 19 jan. 2025.</w:t>
      </w:r>
    </w:p>
    <w:p w14:paraId="50D1570B" w14:textId="77777777" w:rsidR="00643609" w:rsidRDefault="000651AA">
      <w:pPr>
        <w:spacing w:after="240" w:line="240" w:lineRule="auto"/>
      </w:pPr>
      <w:r>
        <w:t>IRGA – Instituto Rio Grandense do Arroz.</w:t>
      </w:r>
      <w:r>
        <w:rPr>
          <w:b/>
        </w:rPr>
        <w:t xml:space="preserve"> Relatório Irga Safra 2021/2022</w:t>
      </w:r>
      <w:r>
        <w:t xml:space="preserve">. Disponível em: </w:t>
      </w:r>
      <w:r>
        <w:t>https://irga.rs.gov.br/upload/arquivos/202209/26133439-relatorio-irga-safra-2021-22.pdf. Acesso em: 19 jan. 2025.</w:t>
      </w:r>
    </w:p>
    <w:p w14:paraId="0A05222F" w14:textId="77777777" w:rsidR="00643609" w:rsidRDefault="000651AA">
      <w:pPr>
        <w:spacing w:after="240" w:line="240" w:lineRule="auto"/>
      </w:pPr>
      <w:r>
        <w:t>IRGA – Instituto Rio Grandense do Arroz.</w:t>
      </w:r>
      <w:r>
        <w:rPr>
          <w:b/>
        </w:rPr>
        <w:t xml:space="preserve"> Relatório sobre a estimativa da safra 2019/2020</w:t>
      </w:r>
      <w:r>
        <w:t>. Disponível em: https://irga.rs.gov.br/relatorio-sobr</w:t>
      </w:r>
      <w:r>
        <w:t>e-a-estiagem-da-safra-20192020. Acesso em: 19 jan. 2025.</w:t>
      </w:r>
    </w:p>
    <w:p w14:paraId="01FD08BF" w14:textId="77777777" w:rsidR="00643609" w:rsidRDefault="000651AA">
      <w:pPr>
        <w:spacing w:after="240" w:line="240" w:lineRule="auto"/>
      </w:pPr>
      <w:r>
        <w:t>IRGA – Instituto Rio Grandense do Arroz.</w:t>
      </w:r>
      <w:r>
        <w:rPr>
          <w:b/>
        </w:rPr>
        <w:t xml:space="preserve"> Soja</w:t>
      </w:r>
      <w:r>
        <w:t>. Disponível em: https://irga.rs.gov.br/soja. Acesso em: 19 jan. 2025.</w:t>
      </w:r>
    </w:p>
    <w:p w14:paraId="6345262E" w14:textId="77777777" w:rsidR="00643609" w:rsidRDefault="000651AA">
      <w:pPr>
        <w:spacing w:after="240" w:line="240" w:lineRule="auto"/>
      </w:pPr>
      <w:r>
        <w:t>MANKIW, N. G.</w:t>
      </w:r>
      <w:r>
        <w:rPr>
          <w:b/>
        </w:rPr>
        <w:t xml:space="preserve"> Introdução à economia</w:t>
      </w:r>
      <w:r>
        <w:t>. 3. ed. São Paulo: Pioneira Thonson Learning, 2</w:t>
      </w:r>
      <w:r>
        <w:t>005. MANKIW, N. G.</w:t>
      </w:r>
      <w:r>
        <w:rPr>
          <w:b/>
        </w:rPr>
        <w:t xml:space="preserve"> Introdução à economia</w:t>
      </w:r>
      <w:r>
        <w:t xml:space="preserve"> – Tradução da 8ª edição norte-americana. São Paulo: Cengage Learning Brasil, 2019. E-book. Disponível em: https://integrada.minhabiblioteca.com.br/#/books/9788522127924/. Acesso em: 05 set. 2024.</w:t>
      </w:r>
    </w:p>
    <w:p w14:paraId="6ED6A5A7" w14:textId="77777777" w:rsidR="00643609" w:rsidRDefault="000651AA">
      <w:pPr>
        <w:spacing w:after="240" w:line="240" w:lineRule="auto"/>
      </w:pPr>
      <w:r>
        <w:t>MARION, José Carlos</w:t>
      </w:r>
      <w:r>
        <w:t>.</w:t>
      </w:r>
      <w:r>
        <w:rPr>
          <w:b/>
        </w:rPr>
        <w:t xml:space="preserve"> Introdução à contabilidade gerencial</w:t>
      </w:r>
      <w:r>
        <w:t>. São Paulo: Saraiva, 2011. Disponível em: https://integrada.minhabiblioteca.com.br/reader/books/9788547220891/pageid/0. Acesso em: 30 nov. 2024.</w:t>
      </w:r>
    </w:p>
    <w:p w14:paraId="3B9DDA93" w14:textId="77777777" w:rsidR="00643609" w:rsidRDefault="000651AA">
      <w:pPr>
        <w:spacing w:after="240" w:line="240" w:lineRule="auto"/>
      </w:pPr>
      <w:r>
        <w:t>TEJON, José Luiz.</w:t>
      </w:r>
      <w:r>
        <w:rPr>
          <w:b/>
        </w:rPr>
        <w:t xml:space="preserve"> Superação essencial</w:t>
      </w:r>
      <w:r>
        <w:t>: agro diz Tejon. Planeta Campo. Ca</w:t>
      </w:r>
      <w:r>
        <w:t>nal Rural. Disponível em: https://planetacampo.canalrural.com.br/agricultura/superacao-essenciaisagro-diz-tejon/. Acesso em: 03 fev. 2025.</w:t>
      </w:r>
    </w:p>
    <w:p w14:paraId="31D70A40" w14:textId="77777777" w:rsidR="00643609" w:rsidRDefault="000651AA">
      <w:pPr>
        <w:spacing w:after="240" w:line="240" w:lineRule="auto"/>
      </w:pPr>
      <w:r>
        <w:t>USDA – United States Department of Agriculture.</w:t>
      </w:r>
      <w:r>
        <w:rPr>
          <w:b/>
        </w:rPr>
        <w:t xml:space="preserve"> PSD Online</w:t>
      </w:r>
      <w:r>
        <w:t>: Advanced Query. Disponível em: https://apps.fas.usda.gov/</w:t>
      </w:r>
      <w:r>
        <w:t>psdonline/app/index.html#/app/advQuery. Acesso em: 29 ago. 2024.</w:t>
      </w:r>
    </w:p>
    <w:p w14:paraId="21B112B7" w14:textId="77777777" w:rsidR="00643609" w:rsidRDefault="000651AA">
      <w:pPr>
        <w:spacing w:after="240" w:line="240" w:lineRule="auto"/>
      </w:pPr>
      <w:r>
        <w:t>VASCONCELLOS, M. A. S. de; GARCIA, M. E.</w:t>
      </w:r>
      <w:r>
        <w:rPr>
          <w:b/>
        </w:rPr>
        <w:t xml:space="preserve"> Fundamentos de economia</w:t>
      </w:r>
      <w:r>
        <w:t>. 5. ed. São Paulo: Saraiva, 2014. Disponível em: https://clea.edu.mx/biblioteca/files/original/2efe9359bb6643d5151ad5fee51ed75</w:t>
      </w:r>
      <w:r>
        <w:t>2.pdf. Acesso em: 05 set. 2024.</w:t>
      </w:r>
    </w:p>
    <w:p w14:paraId="2127CBAD" w14:textId="77777777" w:rsidR="00643609" w:rsidRDefault="000651AA">
      <w:pPr>
        <w:spacing w:after="240" w:line="240" w:lineRule="auto"/>
      </w:pPr>
      <w:r>
        <w:t>ZANIN, Vanclei. Análise do padrão sazonal dos preços ao produtor de arroz no estado do rio grande do sul.</w:t>
      </w:r>
      <w:r>
        <w:rPr>
          <w:b/>
        </w:rPr>
        <w:t xml:space="preserve"> Revista de Economia e Agronegócio</w:t>
      </w:r>
      <w:r>
        <w:t>, v. 21, n. 2, p. 1-22, 2023.</w:t>
      </w:r>
      <w:bookmarkStart w:id="5" w:name="art3_fim"/>
      <w:bookmarkEnd w:id="5"/>
    </w:p>
    <w:p w14:paraId="0EBD737C" w14:textId="77777777" w:rsidR="00643609" w:rsidRDefault="00643609">
      <w:pPr>
        <w:sectPr w:rsidR="00643609">
          <w:headerReference w:type="default" r:id="rId26"/>
          <w:footerReference w:type="default" r:id="rId27"/>
          <w:footnotePr>
            <w:numRestart w:val="eachSect"/>
          </w:footnotePr>
          <w:pgSz w:w="11906" w:h="16838"/>
          <w:pgMar w:top="1701" w:right="1134" w:bottom="1134" w:left="1701" w:header="709" w:footer="567" w:gutter="0"/>
          <w:cols w:space="720"/>
          <w:docGrid w:linePitch="360"/>
        </w:sectPr>
      </w:pPr>
    </w:p>
    <w:p w14:paraId="1504020A" w14:textId="77777777" w:rsidR="00643609" w:rsidRDefault="000651AA">
      <w:pPr>
        <w:keepNext/>
        <w:spacing w:before="120" w:after="120"/>
        <w:jc w:val="center"/>
      </w:pPr>
      <w:bookmarkStart w:id="6" w:name="art4_ini"/>
      <w:bookmarkEnd w:id="6"/>
      <w:r>
        <w:rPr>
          <w:noProof/>
        </w:rPr>
        <w:lastRenderedPageBreak/>
        <w:drawing>
          <wp:inline distT="0" distB="0" distL="0" distR="0" wp14:anchorId="6AD135A5" wp14:editId="7703EAE2">
            <wp:extent cx="5753100" cy="85839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2_img0.png"/>
                    <pic:cNvPicPr/>
                  </pic:nvPicPr>
                  <pic:blipFill>
                    <a:blip r:embed="rId28"/>
                    <a:stretch>
                      <a:fillRect/>
                    </a:stretch>
                  </pic:blipFill>
                  <pic:spPr>
                    <a:xfrm>
                      <a:off x="0" y="0"/>
                      <a:ext cx="5753100" cy="858399"/>
                    </a:xfrm>
                    <a:prstGeom prst="rect">
                      <a:avLst/>
                    </a:prstGeom>
                  </pic:spPr>
                </pic:pic>
              </a:graphicData>
            </a:graphic>
          </wp:inline>
        </w:drawing>
      </w:r>
    </w:p>
    <w:p w14:paraId="55CEF0A1" w14:textId="77777777" w:rsidR="00643609" w:rsidRDefault="000651AA">
      <w:pPr>
        <w:spacing w:before="360" w:after="0" w:line="240" w:lineRule="auto"/>
        <w:jc w:val="center"/>
      </w:pPr>
      <w:r>
        <w:rPr>
          <w:b/>
        </w:rPr>
        <w:t xml:space="preserve">ESTRATÉGIAS ESG NO VAREJO DE MODA </w:t>
      </w:r>
      <w:r>
        <w:rPr>
          <w:b/>
        </w:rPr>
        <w:t>BRASILEIRO: UM ESTUDO A PARTIR DA ABNT PR 2030 E DO RANKING MERCO RESPONSABILIDADE ESG</w:t>
      </w:r>
    </w:p>
    <w:p w14:paraId="7EF236C3" w14:textId="77777777" w:rsidR="00643609" w:rsidRDefault="000651AA">
      <w:pPr>
        <w:spacing w:after="0" w:line="240" w:lineRule="auto"/>
        <w:jc w:val="right"/>
      </w:pPr>
      <w:r>
        <w:t>Euselia Paveglio Vieira</w:t>
      </w:r>
      <w:r>
        <w:rPr>
          <w:vertAlign w:val="superscript"/>
        </w:rPr>
        <w:footnoteReference w:id="12"/>
      </w:r>
    </w:p>
    <w:p w14:paraId="2D2BD4B9" w14:textId="77777777" w:rsidR="00643609" w:rsidRDefault="000651AA">
      <w:pPr>
        <w:spacing w:after="0" w:line="240" w:lineRule="auto"/>
        <w:jc w:val="right"/>
      </w:pPr>
      <w:r>
        <w:t>Giliane Tais Schultz Oster</w:t>
      </w:r>
      <w:r>
        <w:rPr>
          <w:vertAlign w:val="superscript"/>
        </w:rPr>
        <w:footnoteReference w:id="13"/>
      </w:r>
    </w:p>
    <w:p w14:paraId="058C76AE" w14:textId="77777777" w:rsidR="00643609" w:rsidRDefault="000651AA">
      <w:pPr>
        <w:spacing w:after="0" w:line="240" w:lineRule="auto"/>
        <w:jc w:val="right"/>
      </w:pPr>
      <w:r>
        <w:t>Taís Regina Neuhaus Perkoski</w:t>
      </w:r>
      <w:r>
        <w:rPr>
          <w:vertAlign w:val="superscript"/>
        </w:rPr>
        <w:footnoteReference w:id="14"/>
      </w:r>
    </w:p>
    <w:p w14:paraId="78B1B0E6" w14:textId="77777777" w:rsidR="00643609" w:rsidRDefault="000651AA">
      <w:pPr>
        <w:keepNext/>
        <w:spacing w:before="360" w:after="240" w:line="240" w:lineRule="auto"/>
      </w:pPr>
      <w:r>
        <w:rPr>
          <w:b/>
        </w:rPr>
        <w:t>RESUMO</w:t>
      </w:r>
    </w:p>
    <w:p w14:paraId="53DC5087" w14:textId="77777777" w:rsidR="00643609" w:rsidRDefault="000651AA">
      <w:pPr>
        <w:spacing w:after="240" w:line="240" w:lineRule="auto"/>
        <w:jc w:val="both"/>
      </w:pPr>
      <w:r>
        <w:t>A sustentabilidade e os critérios ESG têm assumido papel estratégico nas org</w:t>
      </w:r>
      <w:r>
        <w:t>anizações contemporâneas, impulsionando a integração de práticas ambientais, sociais e de governança aos modelos de negócio. A presente pesquisa de abordagem qualitativa investiga as estratégias ESG de três varejistas de moda, Renner, C&amp;A e Riachuelo por m</w:t>
      </w:r>
      <w:r>
        <w:t>eio de pesquisa documental baseada em relatórios de sustentabilidade e informações institucionais. A coleta e análise dos dados foram realizadas com base na ABNT PR 2030 (2022), permitindo mensurar</w:t>
      </w:r>
      <w:r>
        <w:rPr>
          <w:vertAlign w:val="superscript"/>
        </w:rPr>
        <w:footnoteReference w:id="15"/>
      </w:r>
      <w:r>
        <w:t xml:space="preserve"> o grau de maturidade ESG das empresas e compará-lo ao po</w:t>
      </w:r>
      <w:r>
        <w:t>sicionamento no</w:t>
      </w:r>
      <w:r>
        <w:rPr>
          <w:i/>
        </w:rPr>
        <w:t xml:space="preserve"> ranking</w:t>
      </w:r>
      <w:r>
        <w:t xml:space="preserve"> Merco Responsabilidade ESG de 2024. O estudo busca compreender como as estratégias relacionadas aos pilares ambiental, social e de governança influenciam o desempenho reputacional das organizações do varejo de moda. Os resultados de</w:t>
      </w:r>
      <w:r>
        <w:t>monstram que as empresas apresentam iniciativas estruturadas em sustentabilidade e ESG, porém com diferentes níveis de maturidade, os quais não correspondem diretamente à posição ocupada no</w:t>
      </w:r>
      <w:r>
        <w:rPr>
          <w:i/>
        </w:rPr>
        <w:t xml:space="preserve"> ranking</w:t>
      </w:r>
      <w:r>
        <w:t xml:space="preserve"> Merco. Conclui-se que a maturidade em ESG contribui para a</w:t>
      </w:r>
      <w:r>
        <w:t xml:space="preserve"> reputação corporativa, mas não constitui a única variável determinante para o reconhecimento das empresas.</w:t>
      </w:r>
    </w:p>
    <w:p w14:paraId="460A3750" w14:textId="77777777" w:rsidR="00643609" w:rsidRDefault="000651AA">
      <w:pPr>
        <w:spacing w:before="240" w:after="240" w:line="240" w:lineRule="auto"/>
        <w:jc w:val="both"/>
      </w:pPr>
      <w:r>
        <w:rPr>
          <w:b/>
        </w:rPr>
        <w:t>Palavras-chave:</w:t>
      </w:r>
      <w:r>
        <w:t xml:space="preserve"> Sustentabilidade; ESG; Varejo da moda.</w:t>
      </w:r>
    </w:p>
    <w:p w14:paraId="10F8E3F6" w14:textId="77777777" w:rsidR="00643609" w:rsidRDefault="000651AA">
      <w:pPr>
        <w:keepNext/>
        <w:spacing w:before="360" w:after="240" w:line="240" w:lineRule="auto"/>
      </w:pPr>
      <w:r>
        <w:rPr>
          <w:b/>
        </w:rPr>
        <w:lastRenderedPageBreak/>
        <w:t>ABSTRACT</w:t>
      </w:r>
    </w:p>
    <w:p w14:paraId="374E1D6C" w14:textId="77777777" w:rsidR="00643609" w:rsidRDefault="000651AA">
      <w:pPr>
        <w:spacing w:after="240" w:line="240" w:lineRule="auto"/>
        <w:jc w:val="both"/>
      </w:pPr>
      <w:r>
        <w:t>Sustainability and ESG criteria have assumed a strategic role in contemporary organi</w:t>
      </w:r>
      <w:r>
        <w:t>zations, driving the integration of environmental, social, and governance practices into business models. This qualitative study investigates the ESG strategies of three fashion retailers, Lojas Renner, C&amp;A, and Riachuelo, through documentary research base</w:t>
      </w:r>
      <w:r>
        <w:t>d on sustainability reports and institutional information. Data collection and analysis were conducted according to ABNT PR 2030 (2022), enabling the assessment of the companies’ ESG maturity levels and their comparison with their positions in the 2024 Mer</w:t>
      </w:r>
      <w:r>
        <w:t>co ESG Responsibility ranking. The study aims to understand how strategies related to the environmental, social, and governance pillars influence the reputational performance of organizations in the fashion retail sector. The results demonstrate that the c</w:t>
      </w:r>
      <w:r>
        <w:t>ompanies have structured sustainability and ESG initiatives, although with different levels of maturity, which do not directly correspond to their positions in the Merco ranking. It is concluded that ESG maturity contributes to corporate reputation; howeve</w:t>
      </w:r>
      <w:r>
        <w:t>r, it is not the sole determining factor for corporate recognition.</w:t>
      </w:r>
    </w:p>
    <w:p w14:paraId="4ACB95E5" w14:textId="77777777" w:rsidR="00643609" w:rsidRDefault="000651AA">
      <w:pPr>
        <w:spacing w:before="240" w:after="240" w:line="240" w:lineRule="auto"/>
        <w:jc w:val="both"/>
      </w:pPr>
      <w:r>
        <w:rPr>
          <w:b/>
        </w:rPr>
        <w:t>Keywords:</w:t>
      </w:r>
      <w:r>
        <w:t xml:space="preserve"> Sustainability; ESG; Fashion retail.</w:t>
      </w:r>
    </w:p>
    <w:p w14:paraId="7F424DFA" w14:textId="77777777" w:rsidR="00643609" w:rsidRDefault="000651AA">
      <w:pPr>
        <w:keepNext/>
        <w:spacing w:before="360" w:after="240" w:line="360" w:lineRule="auto"/>
      </w:pPr>
      <w:r>
        <w:rPr>
          <w:b/>
        </w:rPr>
        <w:t>1 INTRODUÇÃO</w:t>
      </w:r>
    </w:p>
    <w:p w14:paraId="2DB65D38" w14:textId="77777777" w:rsidR="00643609" w:rsidRDefault="000651AA">
      <w:pPr>
        <w:spacing w:after="0" w:line="360" w:lineRule="auto"/>
        <w:ind w:firstLine="709"/>
        <w:jc w:val="both"/>
      </w:pPr>
      <w:r>
        <w:t>A importância da questão ambiental no meio empresarial tem se consolidado como um diferencial competitivo e de grande relevância</w:t>
      </w:r>
      <w:r>
        <w:t xml:space="preserve"> nos últimos anos. Esse movimento pode ser observado também no campo da contabilidade em que se destaca-se o crescimento da contabilidade ambiental como um segmento específico voltado às questões socioambientais (Lins, 2015; Ribeiro, 2012).</w:t>
      </w:r>
    </w:p>
    <w:p w14:paraId="4822E850" w14:textId="77777777" w:rsidR="00643609" w:rsidRDefault="000651AA">
      <w:pPr>
        <w:spacing w:after="0" w:line="360" w:lineRule="auto"/>
        <w:ind w:firstLine="709"/>
        <w:jc w:val="both"/>
      </w:pPr>
      <w:r>
        <w:t>Esse destaque r</w:t>
      </w:r>
      <w:r>
        <w:t>eferente a contabilidade ambiental, está relacionado à crescente relevância das discussões sobre sustentabilidade nas últimas décadas com a difusão do conceito de</w:t>
      </w:r>
      <w:r>
        <w:rPr>
          <w:i/>
        </w:rPr>
        <w:t xml:space="preserve"> Triple Bottom Line</w:t>
      </w:r>
      <w:r>
        <w:t xml:space="preserve"> (TBL) proposta de John Elkington, em 1994, também conhecido como Tripé da </w:t>
      </w:r>
      <w:r>
        <w:t>Sustentabilidade e do ESG termo cunhado pela ONU em 2004 (Sitnikov, 2013).</w:t>
      </w:r>
    </w:p>
    <w:p w14:paraId="7E371D06" w14:textId="77777777" w:rsidR="00643609" w:rsidRDefault="000651AA">
      <w:pPr>
        <w:spacing w:after="0" w:line="360" w:lineRule="auto"/>
        <w:ind w:firstLine="709"/>
        <w:jc w:val="both"/>
      </w:pPr>
      <w:r>
        <w:t xml:space="preserve">Atualmente, a literatura indica ser benéfico para as empresas a implementação de práticas relacionadas à sustentabilidade, entre os ganhos estão uma melhor imagem </w:t>
      </w:r>
      <w:r>
        <w:t xml:space="preserve">empresarial, aumento da confiança do investidor, atração e permanência de talentos e também uma melhora na performance financeira. Organizações que emitem informações ligadas às condutas do ESG são melhores avaliadas, sofrem menores restrições financeiras </w:t>
      </w:r>
      <w:r>
        <w:t>e possuem menor custo de capital (Borsatto; Baggio; Brum, 2023; Fiorot; Albuquerque, 2022; Macedo</w:t>
      </w:r>
      <w:r>
        <w:rPr>
          <w:i/>
        </w:rPr>
        <w:t xml:space="preserve"> et al.</w:t>
      </w:r>
      <w:r>
        <w:t>, 2022; Pereira, 2020).</w:t>
      </w:r>
    </w:p>
    <w:p w14:paraId="236178D3" w14:textId="77777777" w:rsidR="00643609" w:rsidRDefault="000651AA">
      <w:pPr>
        <w:spacing w:after="0" w:line="360" w:lineRule="auto"/>
        <w:ind w:firstLine="709"/>
        <w:jc w:val="both"/>
      </w:pPr>
      <w:r>
        <w:lastRenderedPageBreak/>
        <w:t>A indústria de moda é conhecida por ter uma relação fraca com as questões de sustentabilidade, a produção na indústria da moda t</w:t>
      </w:r>
      <w:r>
        <w:t>em um forte impacto ecológico, envolve o uso de produtos químicos para tingimento e acabamento de peças de vestuário, as emissões de CO2 provenientes do transporte à escala global resultam em danos ambientais extensos. Em meio à pressões por parte de</w:t>
      </w:r>
      <w:r>
        <w:rPr>
          <w:i/>
        </w:rPr>
        <w:t xml:space="preserve"> stake</w:t>
      </w:r>
      <w:r>
        <w:rPr>
          <w:i/>
        </w:rPr>
        <w:t>holders</w:t>
      </w:r>
      <w:r>
        <w:t xml:space="preserve"> e ONGS por maior transparência em sua relação com o meio ambiente, torna-se imprescindível a adoção de relatórios de sustentabilidade como ferramenta de comunicação, as organizações que incorporam essas práticas têm vantagens competitivas com consu</w:t>
      </w:r>
      <w:r>
        <w:t>midores e acionistas (ABNT, 2022; Gárgoles Saes; Grilec; Sejdini, 2022 ).</w:t>
      </w:r>
    </w:p>
    <w:p w14:paraId="6D65040D" w14:textId="77777777" w:rsidR="00643609" w:rsidRDefault="000651AA">
      <w:pPr>
        <w:spacing w:after="0" w:line="360" w:lineRule="auto"/>
        <w:ind w:firstLine="709"/>
        <w:jc w:val="both"/>
      </w:pPr>
      <w:r>
        <w:t>A partir do cenário descrito, com a finalidade de compreender a relação entre reputação corporativa e comunicação de práticas ESG na área de moda, o presente estudo seleciona três em</w:t>
      </w:r>
      <w:r>
        <w:t>presas listadas na B3 do setor de varejo de moda por sua relevância e por sua representatividade (Renner, C&amp;A e Riachuelo|), para responder a seguinte questão problema: como as estratégias nos pilares ambiental, social e de governança influenciam o desempe</w:t>
      </w:r>
      <w:r>
        <w:t>nho das organizações do varejo da moda listadas no</w:t>
      </w:r>
      <w:r>
        <w:rPr>
          <w:i/>
        </w:rPr>
        <w:t xml:space="preserve"> Ranking</w:t>
      </w:r>
      <w:r>
        <w:t xml:space="preserve"> Merco?</w:t>
      </w:r>
    </w:p>
    <w:p w14:paraId="575958EA" w14:textId="77777777" w:rsidR="00643609" w:rsidRDefault="000651AA">
      <w:pPr>
        <w:spacing w:after="0" w:line="360" w:lineRule="auto"/>
        <w:ind w:firstLine="709"/>
        <w:jc w:val="both"/>
      </w:pPr>
      <w:r>
        <w:t>Nesse contexto, a escolha do tema justifica-se pela relevância que a sustentabilidade exerce nas empresas na atualidade. A pesquisa está estruturada em cinco seções principais. Inicialmente,</w:t>
      </w:r>
      <w:r>
        <w:t xml:space="preserve"> apresenta-se a introdução, seguida, do referencial teórico que aprofunda conceitos relacionados à sustentabilidade, como ESG, reputação corporativa, relatórios de sustentabilidade, entre outros. Posteriormente, a metodologia que descreve os procedimentos </w:t>
      </w:r>
      <w:r>
        <w:t>adotados para a execução da pesquisa. Na sequência, os resultados em que se apresentam os quadros informativos referentes aos critérios ESG das varejistas Renner, C&amp;A e Riachuelo, além da análise do grau de maturidade das empresas à luz da ABNT PR 2030 (20</w:t>
      </w:r>
      <w:r>
        <w:t>22) e de suas posições no</w:t>
      </w:r>
      <w:r>
        <w:rPr>
          <w:i/>
        </w:rPr>
        <w:t xml:space="preserve"> ranking</w:t>
      </w:r>
      <w:r>
        <w:t xml:space="preserve"> Merco Responsabilidade ESG 2024, possibilitando uma análise comparativa entre as organizações investigadas. Por fim, são apresentadas as considerações finais, contendo as conclusões acerca dos objetivos propostos e sugestõ</w:t>
      </w:r>
      <w:r>
        <w:t>es para futuras pesquisas relacionadas à temática ESG no setor varejista da moda.</w:t>
      </w:r>
    </w:p>
    <w:p w14:paraId="19B4DBF5" w14:textId="77777777" w:rsidR="00643609" w:rsidRDefault="000651AA">
      <w:pPr>
        <w:keepNext/>
        <w:spacing w:before="360" w:after="240" w:line="360" w:lineRule="auto"/>
      </w:pPr>
      <w:r>
        <w:rPr>
          <w:b/>
        </w:rPr>
        <w:lastRenderedPageBreak/>
        <w:t>2 FUNDAMENTAÇÃO TEÓRICA</w:t>
      </w:r>
    </w:p>
    <w:p w14:paraId="4A66FC67" w14:textId="77777777" w:rsidR="00643609" w:rsidRDefault="000651AA">
      <w:pPr>
        <w:spacing w:after="0" w:line="360" w:lineRule="auto"/>
        <w:ind w:firstLine="709"/>
        <w:jc w:val="both"/>
      </w:pPr>
      <w:r>
        <w:t>A reputação corporativa pode ser compreendida como um ativo intangível de grande relevância, formado pelas percepções, julgamentos e crenças construíd</w:t>
      </w:r>
      <w:r>
        <w:t xml:space="preserve">as pelo público em relação a uma empresa ao longo do tempo, tais fatores influenciam sua imagem e posicionamento no mercado. A literatura sugere que uma boa reputação nas empresas pode ser importante para a atração de clientes, motivação de colaboradores, </w:t>
      </w:r>
      <w:r>
        <w:t>na geração de interesse de investimentos e até mesmo no desempenho financeiro (Belmonte, 2024; Rojas-de-Gracia; Muñoz; Gomar-Lomeña, 2023).</w:t>
      </w:r>
    </w:p>
    <w:p w14:paraId="6BEDD04F" w14:textId="77777777" w:rsidR="00643609" w:rsidRDefault="000651AA">
      <w:pPr>
        <w:spacing w:after="0" w:line="360" w:lineRule="auto"/>
        <w:ind w:firstLine="709"/>
        <w:jc w:val="both"/>
      </w:pPr>
      <w:r>
        <w:t>Neste cenário, com o objetivo de mensurar a reputação das empresas, surge desde 1999 o Monitor de Reputação Corporat</w:t>
      </w:r>
      <w:r>
        <w:t>iva (Merco), com base em uma metodologia</w:t>
      </w:r>
      <w:r>
        <w:rPr>
          <w:i/>
        </w:rPr>
        <w:t xml:space="preserve"> multistakeholders,</w:t>
      </w:r>
      <w:r>
        <w:t xml:space="preserve"> baseada na avaliação de diversos públicos especialistas, e executada em oito etapas diferentes, o Merco apresenta os resultados das empresas mais bem avaliadas em diferentes rankings e setores, como por exemplo o</w:t>
      </w:r>
      <w:r>
        <w:rPr>
          <w:i/>
        </w:rPr>
        <w:t xml:space="preserve"> ranking</w:t>
      </w:r>
      <w:r>
        <w:t xml:space="preserve"> Merco empresas ou o</w:t>
      </w:r>
      <w:r>
        <w:rPr>
          <w:i/>
        </w:rPr>
        <w:t xml:space="preserve"> ranking</w:t>
      </w:r>
      <w:r>
        <w:t xml:space="preserve"> Merco </w:t>
      </w:r>
      <w:r>
        <w:t>Responsabilidade ESG, entre outros(Rojas-de-Gracia; Muñoz; Gomar-Lomeña, 2023).</w:t>
      </w:r>
    </w:p>
    <w:p w14:paraId="1D5D5F30" w14:textId="77777777" w:rsidR="00643609" w:rsidRDefault="000651AA">
      <w:pPr>
        <w:spacing w:after="0" w:line="360" w:lineRule="auto"/>
        <w:ind w:firstLine="709"/>
        <w:jc w:val="both"/>
      </w:pPr>
      <w:r>
        <w:t>Além da importância da reputação para as organizações, a literatura também sugere que a estratégia de sustentabilidade nas empresas de moda tem ganhado cada vez mais destaque d</w:t>
      </w:r>
      <w:r>
        <w:t>evido ao crescente interesse e preocupação dos consumidores nesta área, especialmente da geração Y. Dessa forma, as empresas que se envolvem em atividades e práticas mais sustentáveis cultivam uma imagem pública positiva, e tem um melhor desempenho em term</w:t>
      </w:r>
      <w:r>
        <w:t>os de reputação. Uma boa reputação em sustentabilidade aumenta o valor da marca (Borsatto; Baggio; Brum, 2023; Lins, 2015; Macedo</w:t>
      </w:r>
      <w:r>
        <w:rPr>
          <w:i/>
        </w:rPr>
        <w:t xml:space="preserve"> et al.</w:t>
      </w:r>
      <w:r>
        <w:t>, 2022; Moreira; Brito; Lima, 2020; Pereira, 2020; Ramírez-Barredo; Guerrero Glez-Valerio, 2024; SanMiguel</w:t>
      </w:r>
      <w:r>
        <w:rPr>
          <w:i/>
        </w:rPr>
        <w:t xml:space="preserve"> et al.</w:t>
      </w:r>
      <w:r>
        <w:t>, 2021;</w:t>
      </w:r>
      <w:r>
        <w:t xml:space="preserve"> Santos; Silva, 2017; Tachizawa; Andrade, 2011; Vy; Thanh, 2025).</w:t>
      </w:r>
    </w:p>
    <w:p w14:paraId="22196AEA" w14:textId="77777777" w:rsidR="00643609" w:rsidRDefault="000651AA">
      <w:pPr>
        <w:spacing w:after="0" w:line="360" w:lineRule="auto"/>
        <w:ind w:firstLine="709"/>
        <w:jc w:val="both"/>
      </w:pPr>
      <w:r>
        <w:t>Segundo Mikhailova (2004), a sustentabilidade pode ser compreendida como a capacidade de permanência e continuidade ao longo do tempo, de modo que uma atividade sustentável é aquela capaz de</w:t>
      </w:r>
      <w:r>
        <w:t xml:space="preserve"> se manter sem comprometer os recursos e elementos do meio ambiente. Nessa mesma perspectiva, Sachs (2002), na obra</w:t>
      </w:r>
      <w:r>
        <w:rPr>
          <w:i/>
        </w:rPr>
        <w:t xml:space="preserve"> Caminhos para o Desenvolvimento Sustentável</w:t>
      </w:r>
      <w:r>
        <w:t xml:space="preserve">, argumenta que o desenvolvimento social está diretamente relacionado às questões ambientais e à </w:t>
      </w:r>
      <w:r>
        <w:t xml:space="preserve">sustentabilidade, defendendo que o uso consciente dos recursos naturais é fundamental para </w:t>
      </w:r>
      <w:r>
        <w:lastRenderedPageBreak/>
        <w:t>promover qualidade de vida e desenvolvimento sustentável. Com a expansão das discussões sobre sustentabilidade, ganhou destaque na década de 1990 o conceito de</w:t>
      </w:r>
      <w:r>
        <w:rPr>
          <w:i/>
        </w:rPr>
        <w:t xml:space="preserve"> Tripl</w:t>
      </w:r>
      <w:r>
        <w:rPr>
          <w:i/>
        </w:rPr>
        <w:t>e Bottom Line (TBL)</w:t>
      </w:r>
      <w:r>
        <w:t>, também conhecido como Tripé da Sustentabilidade, proposto por John Elkington.</w:t>
      </w:r>
    </w:p>
    <w:p w14:paraId="44274882" w14:textId="77777777" w:rsidR="00643609" w:rsidRDefault="000651AA">
      <w:pPr>
        <w:spacing w:after="0" w:line="360" w:lineRule="auto"/>
        <w:ind w:firstLine="709"/>
        <w:jc w:val="both"/>
      </w:pPr>
      <w:r>
        <w:t>A partir da consolidação do conceito do Tripé da Sustentabilidade, em 2004, em uma publicação do Pacto Global da ONU, em acordo com o Banco Mundial, chamada</w:t>
      </w:r>
      <w:r>
        <w:rPr>
          <w:i/>
        </w:rPr>
        <w:t xml:space="preserve"> </w:t>
      </w:r>
      <w:r>
        <w:rPr>
          <w:i/>
        </w:rPr>
        <w:t>Who Cares Wins</w:t>
      </w:r>
      <w:r>
        <w:t>, surge o ESG, (</w:t>
      </w:r>
      <w:r>
        <w:rPr>
          <w:i/>
        </w:rPr>
        <w:t>environmental</w:t>
      </w:r>
      <w:r>
        <w:t>, social</w:t>
      </w:r>
      <w:r>
        <w:rPr>
          <w:i/>
        </w:rPr>
        <w:t xml:space="preserve"> and governance),</w:t>
      </w:r>
      <w:r>
        <w:t xml:space="preserve"> traduzindo para o português como ambiental, social e governança. Os critérios ESG são utilizados como uma métrica na orientação de práticas empresariais, sendo observados os impactos ambi</w:t>
      </w:r>
      <w:r>
        <w:t>entais, emissões de carbono, a gestão de resíduos e as questões trabalhistas. Esses elementos são analisados e exigidos por investidores que buscam empresas comprometidas com a sustentabilidade dos negócios. Nesse cenário, alinhar-se aos pilares ESG torna-</w:t>
      </w:r>
      <w:r>
        <w:t>se um desafio essencial para as organizações (Alves, 2024; Pereira, 2020).</w:t>
      </w:r>
    </w:p>
    <w:p w14:paraId="3215713A" w14:textId="77777777" w:rsidR="00643609" w:rsidRDefault="000651AA">
      <w:pPr>
        <w:spacing w:after="0" w:line="360" w:lineRule="auto"/>
        <w:ind w:firstLine="709"/>
        <w:jc w:val="both"/>
      </w:pPr>
      <w:r>
        <w:t>Dessa forma, a importância da questão ambiental no meio empresarial se consolida como um fator estratégico, uma vez que a imagem das empresas perante a sociedade representa um eleme</w:t>
      </w:r>
      <w:r>
        <w:t>nto relevante, e a adoção de práticas sustentáveis tende a ser bem avaliada por consumidores e fornecedores (Borsatto; Baggio; Brum, 2023; Lins, 2015;Macedo</w:t>
      </w:r>
      <w:r>
        <w:rPr>
          <w:i/>
        </w:rPr>
        <w:t xml:space="preserve"> et al.</w:t>
      </w:r>
      <w:r>
        <w:t>, 2022; Moreira; Brito; Lima, 2020; Pereira, 2020; Ramírez-Barredo; Guerrero Glez-Valerio, 20</w:t>
      </w:r>
      <w:r>
        <w:t>24; SanMiguel</w:t>
      </w:r>
      <w:r>
        <w:rPr>
          <w:i/>
        </w:rPr>
        <w:t xml:space="preserve"> et al.</w:t>
      </w:r>
      <w:r>
        <w:t>, 2021; Santos; Silva, 2017;Tachizawa; Andrade, 2011; Vy; Thanh, 2025).</w:t>
      </w:r>
    </w:p>
    <w:p w14:paraId="7BA59B47" w14:textId="77777777" w:rsidR="00643609" w:rsidRDefault="000651AA">
      <w:pPr>
        <w:spacing w:after="0" w:line="360" w:lineRule="auto"/>
        <w:ind w:firstLine="709"/>
        <w:jc w:val="both"/>
      </w:pPr>
      <w:r>
        <w:t>Nesse espaço de crescente interesse pelos atributos ESG, a contabilidade ambiental ganha destaque nas empresas e se torna um diferencial competitivo. Essa segmentaç</w:t>
      </w:r>
      <w:r>
        <w:t>ão da contabilidade tradicional se tornou necessária em virtude da limitação dos recursos naturais e do crescimento da população e tem como objetivo de identificar, mensurar e esclarecer os eventos e transações econômico-financeiros que estejam relacionado</w:t>
      </w:r>
      <w:r>
        <w:t>s com a preservação ambiental, visando a evidenciação da situação patrimonial, possibilita controlar os gastos relacionados com investimentos, custos e despesas ambientais, com essas informações auxilia o processo de tomada de decisão permitindo que as org</w:t>
      </w:r>
      <w:r>
        <w:t>anizações consigam avaliar o valor social das suas atividades (Moreira; Brito; Lima, 2020; Ribeiro, 2012; Silva; Ferreira, 2024; Silva; Nascimento, 2022).</w:t>
      </w:r>
    </w:p>
    <w:p w14:paraId="1B42F180" w14:textId="77777777" w:rsidR="00643609" w:rsidRDefault="000651AA">
      <w:pPr>
        <w:spacing w:after="0" w:line="360" w:lineRule="auto"/>
        <w:ind w:firstLine="709"/>
        <w:jc w:val="both"/>
      </w:pPr>
      <w:r>
        <w:t xml:space="preserve">Com a crescente pressão por parte de consumidores, ativistas e organizações não governamentais, para </w:t>
      </w:r>
      <w:r>
        <w:t xml:space="preserve">que as organizações divulguem de forma transparente </w:t>
      </w:r>
      <w:r>
        <w:lastRenderedPageBreak/>
        <w:t>suas preocupações ambientais, os relatórios de sustentabilidade ganham força, e se consolidam como uma ferramenta importante de comunicação entre a empresa e os</w:t>
      </w:r>
      <w:r>
        <w:rPr>
          <w:i/>
        </w:rPr>
        <w:t xml:space="preserve"> stakeholders.</w:t>
      </w:r>
      <w:r>
        <w:t xml:space="preserve"> Nesse cenário, a contabilidad</w:t>
      </w:r>
      <w:r>
        <w:t>e ambiental, ao ser incorporada aos relatórios de sustentabilidade e ESG, atua no fortalecimento da governança corporativa, na ampliação da transparência organizacional e na atração de investimentos sustentáveis (Santos; Oliveira; Izidoro, 2025; Siebert; G</w:t>
      </w:r>
      <w:r>
        <w:t>onçalves; Moraes, 2024).</w:t>
      </w:r>
    </w:p>
    <w:p w14:paraId="723774F8" w14:textId="77777777" w:rsidR="00643609" w:rsidRDefault="000651AA">
      <w:pPr>
        <w:spacing w:after="0" w:line="360" w:lineRule="auto"/>
        <w:ind w:firstLine="709"/>
        <w:jc w:val="both"/>
      </w:pPr>
      <w:r>
        <w:t>Na atualidade, as divulgações relacionadas à sustentabilidade são realizadas por meio de diferentes tipos de relatórios. No entanto, a existência de diversas diretrizes dificulta a análise das informações entre as empresas, além de</w:t>
      </w:r>
      <w:r>
        <w:t xml:space="preserve"> possibilitar que algumas organizações evidenciem apenas aspectos favoráveis de sua atuação, omitindo dados relevantes para a avaliação de sua sustentabilidade no médio e longo prazo. Com a necessidade de padronização das informações, um dos modelos de rel</w:t>
      </w:r>
      <w:r>
        <w:t>atório mais reconhecidos e adotados por empresas comprometidas com a sustentabilidade corporativa é o da</w:t>
      </w:r>
      <w:r>
        <w:rPr>
          <w:i/>
        </w:rPr>
        <w:t xml:space="preserve"> Global Reporting Initiative</w:t>
      </w:r>
      <w:r>
        <w:t xml:space="preserve"> (GRI) que é uma organização internacional dedicada à promoção da elaboração de relatórios de sustentabilidade. Porém, ainda</w:t>
      </w:r>
      <w:r>
        <w:t xml:space="preserve"> existem limitações relacionadas à padronização e comparabilidade das informações divulgadas entre as organizações (Amer; Azimli; Adedokun, 2025; Barbieri; Cajazeira, 2016).</w:t>
      </w:r>
    </w:p>
    <w:p w14:paraId="548F3425" w14:textId="77777777" w:rsidR="00643609" w:rsidRDefault="000651AA">
      <w:pPr>
        <w:spacing w:after="0" w:line="360" w:lineRule="auto"/>
        <w:ind w:firstLine="709"/>
        <w:jc w:val="both"/>
      </w:pPr>
      <w:r>
        <w:t>Diante desse cenário, a</w:t>
      </w:r>
      <w:r>
        <w:rPr>
          <w:i/>
        </w:rPr>
        <w:t xml:space="preserve"> International Financial Reporting Standards Foundation</w:t>
      </w:r>
      <w:r>
        <w:t xml:space="preserve"> (IF</w:t>
      </w:r>
      <w:r>
        <w:t>RS</w:t>
      </w:r>
      <w:r>
        <w:rPr>
          <w:i/>
        </w:rPr>
        <w:t xml:space="preserve"> Foundation</w:t>
      </w:r>
      <w:r>
        <w:t>) anunciou, em novembro de 2021, a criação d</w:t>
      </w:r>
      <w:r>
        <w:rPr>
          <w:i/>
        </w:rPr>
        <w:t>o International Sustainability Standards Board</w:t>
      </w:r>
      <w:r>
        <w:t xml:space="preserve"> (ISSB), órgão desenvolvido para responder às demandas do Conselho de Estabilidade Financeira do G20, do G7 e da</w:t>
      </w:r>
      <w:r>
        <w:rPr>
          <w:i/>
        </w:rPr>
        <w:t xml:space="preserve"> International Organization of Securities</w:t>
      </w:r>
      <w:r>
        <w:rPr>
          <w:i/>
        </w:rPr>
        <w:t xml:space="preserve"> Commissions</w:t>
      </w:r>
      <w:r>
        <w:t xml:space="preserve"> (IOSCO). O objetivo do conselho é promover a divulgação de informações financeiras relacionadas à sustentabilidade e às questões climáticas de maneira mais padronizada, completa, comparável e confiável. As normas internacionais de relato finan</w:t>
      </w:r>
      <w:r>
        <w:t>ceiro IFRS S1 e IFRS S2 remodelaram significativamente os relatórios financeiros, já que aumentaram a transparência e comparabilidade, fomentando a confiança dos investidores, reduzindo a assimetria de informações e permitindo que as empresas acessem capit</w:t>
      </w:r>
      <w:r>
        <w:t>al de forma mais eficiente para fortalecer o desempenho da sustentabilidade a longo prazo (Amer; Azimli; Adedokun, 2025; Oliari, 2023; TOTVS, 2026)</w:t>
      </w:r>
    </w:p>
    <w:p w14:paraId="14D05892" w14:textId="77777777" w:rsidR="00643609" w:rsidRDefault="000651AA">
      <w:pPr>
        <w:spacing w:after="0" w:line="360" w:lineRule="auto"/>
        <w:ind w:firstLine="709"/>
        <w:jc w:val="both"/>
      </w:pPr>
      <w:r>
        <w:lastRenderedPageBreak/>
        <w:t xml:space="preserve">No contexto brasileiro, a IFRS S1 e S2 foram adotadas, e os relatórios de sustentabilidade divulgados pelas </w:t>
      </w:r>
      <w:r>
        <w:t>empresas devem estar de acordo com as especificações de forma voluntária a partir de 2024 e de forma obrigatória a partir de janeiro de 2026. A adoção desses padrões demonstra um avanço em direção a uma gestão mais transparente, responsável e alinhada às q</w:t>
      </w:r>
      <w:r>
        <w:t>uestões ambientais e sociais, tornando a sustentabilidade um elemento essencial na governança corporativa.</w:t>
      </w:r>
    </w:p>
    <w:p w14:paraId="17E28673" w14:textId="77777777" w:rsidR="00643609" w:rsidRDefault="000651AA">
      <w:pPr>
        <w:spacing w:after="0" w:line="360" w:lineRule="auto"/>
        <w:ind w:firstLine="709"/>
        <w:jc w:val="both"/>
      </w:pPr>
      <w:r>
        <w:t>Em território nacional, em 2022, também foi registrada a primeira norma brasileira com o foco na gestão do ESG, a ABNT PR 2030, resultado do trabalho</w:t>
      </w:r>
      <w:r>
        <w:t xml:space="preserve"> liderado pela Associação Brasileira de Normas Técnicas (ABNT) e pela Organização Internacional de Normalização (ISO) com referência à agenda 2030. Trata-se de uma prática recomendada que apresenta estratégias de desenvolvimento alinhadas aos pilares ESG, </w:t>
      </w:r>
      <w:r>
        <w:t>orientando qualquer organização independente do porte ou setor, incorpore os aspectos ambientais, sociais e de governança nos seus negócios (Lopes; Busti, 2023; TOTVS, 2026).</w:t>
      </w:r>
    </w:p>
    <w:p w14:paraId="684CA019" w14:textId="77777777" w:rsidR="00643609" w:rsidRDefault="000651AA">
      <w:pPr>
        <w:spacing w:after="0" w:line="360" w:lineRule="auto"/>
        <w:ind w:firstLine="709"/>
        <w:jc w:val="both"/>
      </w:pPr>
      <w:r>
        <w:t>A prática recomendada visa alinhar os princípios ESG, bem como quais passos são n</w:t>
      </w:r>
      <w:r>
        <w:t>ecessários para adoção das práticas ESG nas organizações, além de uma escala para identificação dos estágios de maturidade e também os critérios ambientais, sociais e de governança que servem de ponto de partida para implementação. Na busca por auxiliar na</w:t>
      </w:r>
      <w:r>
        <w:t xml:space="preserve"> melhoria contínua dos processos, a ABNT PR 2030 (2022) propõe um modelo de estruturação com passos progressivos para incorporar o ESG nas organizações, abordando temas desde conhecimentos sobre o tema até a entrega de valor para sociedade.</w:t>
      </w:r>
    </w:p>
    <w:p w14:paraId="5EA6D35F" w14:textId="77777777" w:rsidR="00643609" w:rsidRDefault="000651AA">
      <w:pPr>
        <w:spacing w:after="0" w:line="360" w:lineRule="auto"/>
        <w:ind w:firstLine="709"/>
        <w:jc w:val="both"/>
      </w:pPr>
      <w:r>
        <w:t>Outro ponto abo</w:t>
      </w:r>
      <w:r>
        <w:t>rdado na norma, é o modelo de avaliação e direcionamento permitindo que as organizações possam identificar o estágio de maturidade que tem em relação aos pilares ESG servindo de suporte para definir suas estratégias, objetivos e metas. Contando com cinco n</w:t>
      </w:r>
      <w:r>
        <w:t>íveis, sendo eles, elementar, não integrado, gerencial, estratégico e transformador (Lopes; Busti, 2023).</w:t>
      </w:r>
    </w:p>
    <w:p w14:paraId="4107B9C1" w14:textId="77777777" w:rsidR="00643609" w:rsidRDefault="000651AA">
      <w:pPr>
        <w:spacing w:after="0" w:line="360" w:lineRule="auto"/>
        <w:ind w:firstLine="709"/>
        <w:jc w:val="both"/>
      </w:pPr>
      <w:r>
        <w:t>A norma ABNT PR 2030 (2022) apresenta um guia com temas e critérios baseados nos três eixos, o ambiental, social e governança. Dessa forma, a existênc</w:t>
      </w:r>
      <w:r>
        <w:t>ia da Norma ABNT PR 2030 (2022) possibilita que as empresas alinhem suas prioridades financeiras com os pilares ESG, apresentando práticas acessíveis de implementação tanto para grandes empresas quanto para pequenas e médias empresas, oferecendo um ponto d</w:t>
      </w:r>
      <w:r>
        <w:t>e partida seguro para iniciar a jornada ESG (Lopes; Busti, 2023).</w:t>
      </w:r>
    </w:p>
    <w:p w14:paraId="606DFD93" w14:textId="77777777" w:rsidR="00643609" w:rsidRDefault="000651AA">
      <w:pPr>
        <w:keepNext/>
        <w:spacing w:before="360" w:after="240" w:line="360" w:lineRule="auto"/>
      </w:pPr>
      <w:r>
        <w:rPr>
          <w:b/>
        </w:rPr>
        <w:lastRenderedPageBreak/>
        <w:t>3 METODOLOGIA</w:t>
      </w:r>
    </w:p>
    <w:p w14:paraId="76A5CFC8" w14:textId="77777777" w:rsidR="00643609" w:rsidRDefault="000651AA">
      <w:pPr>
        <w:spacing w:after="0" w:line="360" w:lineRule="auto"/>
        <w:ind w:firstLine="709"/>
        <w:jc w:val="both"/>
      </w:pPr>
      <w:r>
        <w:t>Quanto à natureza, a presente pesquisa classifica-se como aplicada, pois tem por finalidade identificar as práticas que as empresas do varejo da moda implementam conforme os cr</w:t>
      </w:r>
      <w:r>
        <w:t>itérios ESG. Em relação aos objetivos, caracteriza-se como descritiva, uma vez que busca descrever as características de determinada população ou fenômeno, além de identificar relações entre variáveis (Gil, 2022).</w:t>
      </w:r>
    </w:p>
    <w:p w14:paraId="522134A0" w14:textId="77777777" w:rsidR="00643609" w:rsidRDefault="000651AA">
      <w:pPr>
        <w:spacing w:after="0" w:line="360" w:lineRule="auto"/>
        <w:ind w:firstLine="709"/>
        <w:jc w:val="both"/>
      </w:pPr>
      <w:r>
        <w:t xml:space="preserve">No que se refere à abordagem do problema, </w:t>
      </w:r>
      <w:r>
        <w:t>o estudo possui caráter qualitativo. Além disso, a pesquisa pode ser classificada como um estudo de caso múltiplo em profundidade, que, conforme Gil (2019), envolve a investigação profunda de um ou poucos casos, possibilitando um conhecimento amplo e detal</w:t>
      </w:r>
      <w:r>
        <w:t>hado dos objetos analisados.</w:t>
      </w:r>
    </w:p>
    <w:p w14:paraId="5EECB976" w14:textId="77777777" w:rsidR="00643609" w:rsidRDefault="000651AA">
      <w:pPr>
        <w:spacing w:after="0" w:line="360" w:lineRule="auto"/>
        <w:ind w:firstLine="709"/>
        <w:jc w:val="both"/>
      </w:pPr>
      <w:r>
        <w:t xml:space="preserve">Considerando a variedade de setores que compõem a B3, optou-se por delimitar o estudo ao setor do varejo da moda. Para a amostra da pesquisa, foram selecionadas as empresas Renner, C&amp;A e Riachuelo, em razão de sua relevância e </w:t>
      </w:r>
      <w:r>
        <w:t>representatividade no setor, além de estarem listadas na B3 e presentes no ranking Merco.</w:t>
      </w:r>
    </w:p>
    <w:p w14:paraId="3A93CDD1" w14:textId="77777777" w:rsidR="00643609" w:rsidRDefault="000651AA">
      <w:pPr>
        <w:spacing w:after="0" w:line="360" w:lineRule="auto"/>
        <w:ind w:firstLine="709"/>
      </w:pPr>
      <w:r>
        <w:t>O instrumento de coleta de dados utilizado na pesquisa foi a análise documental, segundo Martins e Theóphilo (2016) é uma característica das pesquisas que usam docume</w:t>
      </w:r>
      <w:r>
        <w:t>ntos como fonte de referências e informações, podendo ser de variados tipos, sendo escritos ou não. Foram utilizados os relatórios das empresas divulgados nos</w:t>
      </w:r>
      <w:r>
        <w:rPr>
          <w:i/>
        </w:rPr>
        <w:t xml:space="preserve"> sites</w:t>
      </w:r>
      <w:r>
        <w:t xml:space="preserve"> corporativos, por se tratarem de documentos oficiais que refletem as informações divulgadas</w:t>
      </w:r>
      <w:r>
        <w:t xml:space="preserve"> pelas organizações. Para a pesquisa, também foi utilizada a observação sistemática, com a análise de documentos disponibilizados pelas empresas para sistematizar essas informações nos pilares ESG, nos aspectos ambientais, sociais e de governança.</w:t>
      </w:r>
    </w:p>
    <w:p w14:paraId="534B9E9F" w14:textId="77777777" w:rsidR="00643609" w:rsidRDefault="000651AA">
      <w:pPr>
        <w:spacing w:after="0" w:line="360" w:lineRule="auto"/>
        <w:ind w:firstLine="709"/>
        <w:jc w:val="both"/>
      </w:pPr>
      <w:r>
        <w:t xml:space="preserve">Como </w:t>
      </w:r>
      <w:r>
        <w:t>instrumento de interpretação dos dados é utilizada a análise de conteúdo, que é definida por Bardin (2011) em um conjunto de técnicas de análise, aplicando procedimentos sistemáticos e objetivos para descrever o conteúdo das mensagens, orais ou escritas, a</w:t>
      </w:r>
      <w:r>
        <w:t>ssim permitindo obter conhecimentos relativos às condições de produção e percepção dessas mensagens.</w:t>
      </w:r>
    </w:p>
    <w:p w14:paraId="17110F7C" w14:textId="77777777" w:rsidR="00643609" w:rsidRDefault="000651AA">
      <w:pPr>
        <w:spacing w:after="0" w:line="360" w:lineRule="auto"/>
        <w:ind w:firstLine="709"/>
        <w:jc w:val="both"/>
      </w:pPr>
      <w:r>
        <w:t>Dessa forma, a técnica de análise de conteúdo foi utilizada para verificar os dados sobre as práticas de sustentabilidade e ESG no setor do varejo da moda,</w:t>
      </w:r>
      <w:r>
        <w:t xml:space="preserve"> utilizando relatórios e notas explicativas para o embasamento da pesquisa. </w:t>
      </w:r>
      <w:r>
        <w:lastRenderedPageBreak/>
        <w:t>Inicialmente, foram coletadas as estratégias de sustentabilidade e ESG das empresas Renner, C&amp;A e Riachuelo, à luz da normativa ABNT PR 2030 (2022). Posteriormente, foi utilizado o</w:t>
      </w:r>
      <w:r>
        <w:t xml:space="preserve"> modelo de avaliação e direcionamento proposto pela ABNT PR 2030 (2022) para identificar e reconhecer o estágio de maturidade em relação aos critérios ESG das empresas, este conta com cinco, conforme demonstra o Quadro 1(Lopes; Busti, 2023).</w:t>
      </w:r>
    </w:p>
    <w:p w14:paraId="048BB3BC" w14:textId="77777777" w:rsidR="00643609" w:rsidRDefault="000651AA">
      <w:pPr>
        <w:spacing w:after="0" w:line="360" w:lineRule="auto"/>
        <w:ind w:firstLine="709"/>
        <w:jc w:val="both"/>
      </w:pPr>
      <w:r>
        <w:t>Por fim, reali</w:t>
      </w:r>
      <w:r>
        <w:t>zou-se uma análise comparativa das estratégias e sua relação com o desempenho no</w:t>
      </w:r>
      <w:r>
        <w:rPr>
          <w:i/>
        </w:rPr>
        <w:t xml:space="preserve"> ranking</w:t>
      </w:r>
      <w:r>
        <w:t xml:space="preserve"> Merco, avaliando fatores que contribuem para o posicionamento das organizações. Para esta pesquisa, foi utilizada a categoria Merco Responsabilidade ESG, que possibili</w:t>
      </w:r>
      <w:r>
        <w:t>ta avaliar o desempenho das empresas quanto às práticas de sustentabilidade e responsabilidade corporativa no setor do varejo da moda.</w:t>
      </w:r>
    </w:p>
    <w:p w14:paraId="7E7AE2CC" w14:textId="77777777" w:rsidR="00643609" w:rsidRDefault="000651AA">
      <w:pPr>
        <w:spacing w:after="0" w:line="360" w:lineRule="auto"/>
        <w:ind w:firstLine="709"/>
        <w:jc w:val="both"/>
      </w:pPr>
      <w:r>
        <w:t xml:space="preserve">Desse modo, a metodologia adotada fornece subsídios para compreender como as práticas ESG vêm sendo </w:t>
      </w:r>
      <w:r>
        <w:t>estruturadas e comunicadas por essas organizações, evidenciando o alinhamento entre sustentabilidade, gestão corporativa e reputação corporativa no setor varejista de moda brasileiro.</w:t>
      </w:r>
    </w:p>
    <w:p w14:paraId="4B5BB275" w14:textId="77777777" w:rsidR="00643609" w:rsidRDefault="000651AA">
      <w:pPr>
        <w:keepNext/>
        <w:spacing w:before="360" w:after="240" w:line="360" w:lineRule="auto"/>
      </w:pPr>
      <w:r>
        <w:rPr>
          <w:b/>
        </w:rPr>
        <w:t>4 APRESENTAÇÃO E ANÁLISE DOS DADOS</w:t>
      </w:r>
    </w:p>
    <w:p w14:paraId="17DA0035" w14:textId="77777777" w:rsidR="00643609" w:rsidRDefault="000651AA">
      <w:pPr>
        <w:keepNext/>
        <w:spacing w:before="360" w:after="240" w:line="360" w:lineRule="auto"/>
      </w:pPr>
      <w:r>
        <w:rPr>
          <w:b/>
        </w:rPr>
        <w:t>4.1 Estratégias das empresas varejist</w:t>
      </w:r>
      <w:r>
        <w:rPr>
          <w:b/>
        </w:rPr>
        <w:t>as no âmbito ambiental e de governança</w:t>
      </w:r>
    </w:p>
    <w:p w14:paraId="2146B298" w14:textId="77777777" w:rsidR="00643609" w:rsidRDefault="000651AA">
      <w:pPr>
        <w:spacing w:after="0" w:line="360" w:lineRule="auto"/>
        <w:ind w:firstLine="709"/>
        <w:jc w:val="both"/>
      </w:pPr>
      <w:r>
        <w:t>O eixo ambiental é um dos pilares do ESG, representa as práticas de sustentabilidade corporativa e está relacionada à gestão eficiente dos recursos naturais, a mitigação dos impactos ambientais e adoção de práticas re</w:t>
      </w:r>
      <w:r>
        <w:t>sponsáveis que promovam a preservação do meio ambiente (Alves, 2024).</w:t>
      </w:r>
    </w:p>
    <w:p w14:paraId="303E33AE" w14:textId="1FDE807D" w:rsidR="00AB5F50" w:rsidRDefault="000651AA">
      <w:pPr>
        <w:spacing w:after="0" w:line="360" w:lineRule="auto"/>
        <w:ind w:firstLine="709"/>
        <w:jc w:val="both"/>
      </w:pPr>
      <w:r>
        <w:t>Considerando os critérios definidos pela Norma ABNT PR 2030 (2022), foi realizada a análise do eixo ambiental das empresas Renner, C&amp;A e Riachuelo, conforme exposto no quadro 2, para ide</w:t>
      </w:r>
      <w:r>
        <w:t>ntificação das principais estratégias e iniciativas implementadas em suas organizações.</w:t>
      </w:r>
    </w:p>
    <w:p w14:paraId="35F3F70E" w14:textId="77777777" w:rsidR="00AB5F50" w:rsidRDefault="00AB5F50">
      <w:r>
        <w:br w:type="page"/>
      </w:r>
    </w:p>
    <w:p w14:paraId="013D186B" w14:textId="77777777" w:rsidR="00643609" w:rsidRDefault="00643609">
      <w:pPr>
        <w:spacing w:after="0" w:line="360" w:lineRule="auto"/>
        <w:ind w:firstLine="709"/>
        <w:jc w:val="both"/>
      </w:pPr>
    </w:p>
    <w:tbl>
      <w:tblPr>
        <w:tblStyle w:val="Tabelacomgrade"/>
        <w:tblW w:w="0" w:type="auto"/>
        <w:jc w:val="center"/>
        <w:tblLayout w:type="fixed"/>
        <w:tblLook w:val="04A0" w:firstRow="1" w:lastRow="0" w:firstColumn="1" w:lastColumn="0" w:noHBand="0" w:noVBand="1"/>
      </w:tblPr>
      <w:tblGrid>
        <w:gridCol w:w="1814"/>
        <w:gridCol w:w="1814"/>
        <w:gridCol w:w="1814"/>
        <w:gridCol w:w="1814"/>
        <w:gridCol w:w="1814"/>
      </w:tblGrid>
      <w:tr w:rsidR="00643609" w14:paraId="198780C4" w14:textId="77777777">
        <w:trPr>
          <w:cantSplit/>
          <w:tblHeader/>
          <w:jc w:val="center"/>
        </w:trPr>
        <w:tc>
          <w:tcPr>
            <w:tcW w:w="9070" w:type="dxa"/>
            <w:gridSpan w:val="5"/>
            <w:tcBorders>
              <w:top w:val="nil"/>
              <w:left w:val="nil"/>
              <w:bottom w:val="nil"/>
              <w:right w:val="nil"/>
            </w:tcBorders>
          </w:tcPr>
          <w:p w14:paraId="5D517878" w14:textId="77777777" w:rsidR="00643609" w:rsidRDefault="000651AA">
            <w:pPr>
              <w:keepNext/>
              <w:keepLines/>
              <w:spacing w:after="120"/>
            </w:pPr>
            <w:r>
              <w:rPr>
                <w:sz w:val="20"/>
              </w:rPr>
              <w:t>Quadro 2 - Eixo ambiental</w:t>
            </w:r>
          </w:p>
        </w:tc>
      </w:tr>
      <w:tr w:rsidR="00643609" w14:paraId="0FD7E037" w14:textId="77777777">
        <w:trPr>
          <w:cantSplit/>
          <w:tblHeader/>
          <w:jc w:val="center"/>
        </w:trPr>
        <w:tc>
          <w:tcPr>
            <w:tcW w:w="1814" w:type="dxa"/>
            <w:shd w:val="clear" w:color="auto" w:fill="E7E6E6"/>
          </w:tcPr>
          <w:p w14:paraId="7E63ABA0" w14:textId="77777777" w:rsidR="00643609" w:rsidRDefault="000651AA">
            <w:pPr>
              <w:keepNext/>
            </w:pPr>
            <w:r>
              <w:rPr>
                <w:b/>
                <w:sz w:val="20"/>
              </w:rPr>
              <w:t>Eixo Ambiental</w:t>
            </w:r>
          </w:p>
        </w:tc>
        <w:tc>
          <w:tcPr>
            <w:tcW w:w="1814" w:type="dxa"/>
            <w:shd w:val="clear" w:color="auto" w:fill="E7E6E6"/>
          </w:tcPr>
          <w:p w14:paraId="50BC23D1" w14:textId="77777777" w:rsidR="00643609" w:rsidRDefault="00643609">
            <w:pPr>
              <w:keepNext/>
            </w:pPr>
          </w:p>
        </w:tc>
        <w:tc>
          <w:tcPr>
            <w:tcW w:w="1814" w:type="dxa"/>
            <w:shd w:val="clear" w:color="auto" w:fill="E7E6E6"/>
          </w:tcPr>
          <w:p w14:paraId="5CB6EB28" w14:textId="77777777" w:rsidR="00643609" w:rsidRDefault="00643609">
            <w:pPr>
              <w:keepNext/>
            </w:pPr>
          </w:p>
        </w:tc>
        <w:tc>
          <w:tcPr>
            <w:tcW w:w="1814" w:type="dxa"/>
            <w:shd w:val="clear" w:color="auto" w:fill="E7E6E6"/>
          </w:tcPr>
          <w:p w14:paraId="70683C63" w14:textId="77777777" w:rsidR="00643609" w:rsidRDefault="00643609">
            <w:pPr>
              <w:keepNext/>
            </w:pPr>
          </w:p>
        </w:tc>
        <w:tc>
          <w:tcPr>
            <w:tcW w:w="1814" w:type="dxa"/>
            <w:shd w:val="clear" w:color="auto" w:fill="E7E6E6"/>
          </w:tcPr>
          <w:p w14:paraId="69E1A084" w14:textId="77777777" w:rsidR="00643609" w:rsidRDefault="00643609">
            <w:pPr>
              <w:keepNext/>
            </w:pPr>
          </w:p>
        </w:tc>
      </w:tr>
      <w:tr w:rsidR="00643609" w14:paraId="2C72DFEE" w14:textId="77777777">
        <w:trPr>
          <w:cantSplit/>
          <w:jc w:val="center"/>
        </w:trPr>
        <w:tc>
          <w:tcPr>
            <w:tcW w:w="1814" w:type="dxa"/>
          </w:tcPr>
          <w:p w14:paraId="67C165E9" w14:textId="77777777" w:rsidR="00643609" w:rsidRDefault="000651AA">
            <w:r>
              <w:rPr>
                <w:sz w:val="20"/>
              </w:rPr>
              <w:t>Tema</w:t>
            </w:r>
          </w:p>
        </w:tc>
        <w:tc>
          <w:tcPr>
            <w:tcW w:w="1814" w:type="dxa"/>
          </w:tcPr>
          <w:p w14:paraId="016F83E0" w14:textId="77777777" w:rsidR="00643609" w:rsidRDefault="000651AA">
            <w:r>
              <w:rPr>
                <w:sz w:val="20"/>
              </w:rPr>
              <w:t>Critério</w:t>
            </w:r>
          </w:p>
        </w:tc>
        <w:tc>
          <w:tcPr>
            <w:tcW w:w="1814" w:type="dxa"/>
          </w:tcPr>
          <w:p w14:paraId="2E22CEE4" w14:textId="77777777" w:rsidR="00643609" w:rsidRDefault="000651AA">
            <w:r>
              <w:rPr>
                <w:sz w:val="20"/>
              </w:rPr>
              <w:t>Renner</w:t>
            </w:r>
          </w:p>
        </w:tc>
        <w:tc>
          <w:tcPr>
            <w:tcW w:w="1814" w:type="dxa"/>
          </w:tcPr>
          <w:p w14:paraId="0867C23F" w14:textId="77777777" w:rsidR="00643609" w:rsidRDefault="000651AA">
            <w:r>
              <w:rPr>
                <w:sz w:val="20"/>
              </w:rPr>
              <w:t>C&amp;A</w:t>
            </w:r>
          </w:p>
        </w:tc>
        <w:tc>
          <w:tcPr>
            <w:tcW w:w="1814" w:type="dxa"/>
          </w:tcPr>
          <w:p w14:paraId="0F939975" w14:textId="77777777" w:rsidR="00643609" w:rsidRDefault="000651AA">
            <w:r>
              <w:rPr>
                <w:sz w:val="20"/>
              </w:rPr>
              <w:t>Riachuel o</w:t>
            </w:r>
          </w:p>
        </w:tc>
      </w:tr>
      <w:tr w:rsidR="00643609" w14:paraId="0F8E47AD" w14:textId="77777777">
        <w:trPr>
          <w:cantSplit/>
          <w:jc w:val="center"/>
        </w:trPr>
        <w:tc>
          <w:tcPr>
            <w:tcW w:w="1814" w:type="dxa"/>
          </w:tcPr>
          <w:p w14:paraId="4E05750E" w14:textId="77777777" w:rsidR="00643609" w:rsidRDefault="000651AA">
            <w:r>
              <w:rPr>
                <w:sz w:val="20"/>
              </w:rPr>
              <w:t>Mudanças climáticas</w:t>
            </w:r>
          </w:p>
        </w:tc>
        <w:tc>
          <w:tcPr>
            <w:tcW w:w="1814" w:type="dxa"/>
          </w:tcPr>
          <w:p w14:paraId="42687623" w14:textId="77777777" w:rsidR="00643609" w:rsidRDefault="000651AA">
            <w:r>
              <w:rPr>
                <w:sz w:val="20"/>
              </w:rPr>
              <w:t>Mitigação de emissões de gases de efeito estufa (GEE)</w:t>
            </w:r>
          </w:p>
        </w:tc>
        <w:tc>
          <w:tcPr>
            <w:tcW w:w="1814" w:type="dxa"/>
          </w:tcPr>
          <w:p w14:paraId="3C88E8FE" w14:textId="77777777" w:rsidR="00643609" w:rsidRDefault="000651AA">
            <w:r>
              <w:rPr>
                <w:sz w:val="20"/>
              </w:rPr>
              <w:t>✔</w:t>
            </w:r>
          </w:p>
        </w:tc>
        <w:tc>
          <w:tcPr>
            <w:tcW w:w="1814" w:type="dxa"/>
          </w:tcPr>
          <w:p w14:paraId="6B5F2EAA" w14:textId="77777777" w:rsidR="00643609" w:rsidRDefault="000651AA">
            <w:r>
              <w:rPr>
                <w:sz w:val="20"/>
              </w:rPr>
              <w:t>✔</w:t>
            </w:r>
          </w:p>
        </w:tc>
        <w:tc>
          <w:tcPr>
            <w:tcW w:w="1814" w:type="dxa"/>
          </w:tcPr>
          <w:p w14:paraId="3D8E1A28" w14:textId="77777777" w:rsidR="00643609" w:rsidRDefault="000651AA">
            <w:r>
              <w:rPr>
                <w:sz w:val="20"/>
              </w:rPr>
              <w:t>✔</w:t>
            </w:r>
          </w:p>
        </w:tc>
      </w:tr>
      <w:tr w:rsidR="00643609" w14:paraId="559575F6" w14:textId="77777777">
        <w:trPr>
          <w:cantSplit/>
          <w:jc w:val="center"/>
        </w:trPr>
        <w:tc>
          <w:tcPr>
            <w:tcW w:w="1814" w:type="dxa"/>
          </w:tcPr>
          <w:p w14:paraId="606074D6" w14:textId="77777777" w:rsidR="00643609" w:rsidRDefault="00643609"/>
        </w:tc>
        <w:tc>
          <w:tcPr>
            <w:tcW w:w="1814" w:type="dxa"/>
          </w:tcPr>
          <w:p w14:paraId="6F6F3066" w14:textId="77777777" w:rsidR="00643609" w:rsidRDefault="000651AA">
            <w:r>
              <w:rPr>
                <w:sz w:val="20"/>
              </w:rPr>
              <w:t>Adaptação às mudanças climáticas</w:t>
            </w:r>
          </w:p>
        </w:tc>
        <w:tc>
          <w:tcPr>
            <w:tcW w:w="1814" w:type="dxa"/>
          </w:tcPr>
          <w:p w14:paraId="17A0A029" w14:textId="77777777" w:rsidR="00643609" w:rsidRDefault="000651AA">
            <w:r>
              <w:rPr>
                <w:sz w:val="20"/>
              </w:rPr>
              <w:t>✔</w:t>
            </w:r>
          </w:p>
        </w:tc>
        <w:tc>
          <w:tcPr>
            <w:tcW w:w="1814" w:type="dxa"/>
          </w:tcPr>
          <w:p w14:paraId="082CF5FA" w14:textId="77777777" w:rsidR="00643609" w:rsidRDefault="000651AA">
            <w:r>
              <w:rPr>
                <w:sz w:val="20"/>
              </w:rPr>
              <w:t>✔</w:t>
            </w:r>
          </w:p>
        </w:tc>
        <w:tc>
          <w:tcPr>
            <w:tcW w:w="1814" w:type="dxa"/>
          </w:tcPr>
          <w:p w14:paraId="3FE52A53" w14:textId="77777777" w:rsidR="00643609" w:rsidRDefault="000651AA">
            <w:r>
              <w:rPr>
                <w:sz w:val="20"/>
              </w:rPr>
              <w:t>✔</w:t>
            </w:r>
          </w:p>
        </w:tc>
      </w:tr>
      <w:tr w:rsidR="00643609" w14:paraId="524D66A4" w14:textId="77777777">
        <w:trPr>
          <w:cantSplit/>
          <w:jc w:val="center"/>
        </w:trPr>
        <w:tc>
          <w:tcPr>
            <w:tcW w:w="1814" w:type="dxa"/>
          </w:tcPr>
          <w:p w14:paraId="61DB46F7" w14:textId="77777777" w:rsidR="00643609" w:rsidRDefault="00643609"/>
        </w:tc>
        <w:tc>
          <w:tcPr>
            <w:tcW w:w="1814" w:type="dxa"/>
          </w:tcPr>
          <w:p w14:paraId="343E6173" w14:textId="77777777" w:rsidR="00643609" w:rsidRDefault="000651AA">
            <w:r>
              <w:rPr>
                <w:sz w:val="20"/>
              </w:rPr>
              <w:t>Eficiência energética</w:t>
            </w:r>
          </w:p>
        </w:tc>
        <w:tc>
          <w:tcPr>
            <w:tcW w:w="1814" w:type="dxa"/>
          </w:tcPr>
          <w:p w14:paraId="582D4BF2" w14:textId="77777777" w:rsidR="00643609" w:rsidRDefault="000651AA">
            <w:r>
              <w:rPr>
                <w:sz w:val="20"/>
              </w:rPr>
              <w:t>✔</w:t>
            </w:r>
          </w:p>
        </w:tc>
        <w:tc>
          <w:tcPr>
            <w:tcW w:w="1814" w:type="dxa"/>
          </w:tcPr>
          <w:p w14:paraId="5CC77494" w14:textId="77777777" w:rsidR="00643609" w:rsidRDefault="000651AA">
            <w:r>
              <w:rPr>
                <w:sz w:val="20"/>
              </w:rPr>
              <w:t>✔</w:t>
            </w:r>
          </w:p>
        </w:tc>
        <w:tc>
          <w:tcPr>
            <w:tcW w:w="1814" w:type="dxa"/>
          </w:tcPr>
          <w:p w14:paraId="6AD040A8" w14:textId="77777777" w:rsidR="00643609" w:rsidRDefault="000651AA">
            <w:r>
              <w:rPr>
                <w:sz w:val="20"/>
              </w:rPr>
              <w:t>✔</w:t>
            </w:r>
          </w:p>
        </w:tc>
      </w:tr>
      <w:tr w:rsidR="00643609" w14:paraId="2E2C48D3" w14:textId="77777777">
        <w:trPr>
          <w:cantSplit/>
          <w:jc w:val="center"/>
        </w:trPr>
        <w:tc>
          <w:tcPr>
            <w:tcW w:w="1814" w:type="dxa"/>
          </w:tcPr>
          <w:p w14:paraId="7E6773EC" w14:textId="77777777" w:rsidR="00643609" w:rsidRDefault="000651AA">
            <w:r>
              <w:rPr>
                <w:sz w:val="20"/>
              </w:rPr>
              <w:t>Recursos hídricos</w:t>
            </w:r>
          </w:p>
        </w:tc>
        <w:tc>
          <w:tcPr>
            <w:tcW w:w="1814" w:type="dxa"/>
          </w:tcPr>
          <w:p w14:paraId="61D71679" w14:textId="77777777" w:rsidR="00643609" w:rsidRDefault="000651AA">
            <w:r>
              <w:rPr>
                <w:sz w:val="20"/>
              </w:rPr>
              <w:t>Uso da água</w:t>
            </w:r>
          </w:p>
        </w:tc>
        <w:tc>
          <w:tcPr>
            <w:tcW w:w="1814" w:type="dxa"/>
          </w:tcPr>
          <w:p w14:paraId="138615F9" w14:textId="77777777" w:rsidR="00643609" w:rsidRDefault="000651AA">
            <w:r>
              <w:rPr>
                <w:sz w:val="20"/>
              </w:rPr>
              <w:t>✔</w:t>
            </w:r>
          </w:p>
        </w:tc>
        <w:tc>
          <w:tcPr>
            <w:tcW w:w="1814" w:type="dxa"/>
          </w:tcPr>
          <w:p w14:paraId="1A05A828" w14:textId="77777777" w:rsidR="00643609" w:rsidRDefault="000651AA">
            <w:r>
              <w:rPr>
                <w:sz w:val="20"/>
              </w:rPr>
              <w:t>✔</w:t>
            </w:r>
          </w:p>
        </w:tc>
        <w:tc>
          <w:tcPr>
            <w:tcW w:w="1814" w:type="dxa"/>
          </w:tcPr>
          <w:p w14:paraId="6610D0EF" w14:textId="77777777" w:rsidR="00643609" w:rsidRDefault="000651AA">
            <w:r>
              <w:rPr>
                <w:sz w:val="20"/>
              </w:rPr>
              <w:t>✔</w:t>
            </w:r>
          </w:p>
        </w:tc>
      </w:tr>
      <w:tr w:rsidR="00643609" w14:paraId="750B6071" w14:textId="77777777">
        <w:trPr>
          <w:cantSplit/>
          <w:jc w:val="center"/>
        </w:trPr>
        <w:tc>
          <w:tcPr>
            <w:tcW w:w="1814" w:type="dxa"/>
          </w:tcPr>
          <w:p w14:paraId="73F2A4FC" w14:textId="77777777" w:rsidR="00643609" w:rsidRDefault="00643609"/>
        </w:tc>
        <w:tc>
          <w:tcPr>
            <w:tcW w:w="1814" w:type="dxa"/>
          </w:tcPr>
          <w:p w14:paraId="3EB04BB0" w14:textId="77777777" w:rsidR="00643609" w:rsidRDefault="000651AA">
            <w:r>
              <w:rPr>
                <w:sz w:val="20"/>
              </w:rPr>
              <w:t>Gestão de efluentes</w:t>
            </w:r>
          </w:p>
        </w:tc>
        <w:tc>
          <w:tcPr>
            <w:tcW w:w="1814" w:type="dxa"/>
          </w:tcPr>
          <w:p w14:paraId="0C546766" w14:textId="77777777" w:rsidR="00643609" w:rsidRDefault="000651AA">
            <w:r>
              <w:rPr>
                <w:sz w:val="20"/>
              </w:rPr>
              <w:t>✔</w:t>
            </w:r>
          </w:p>
        </w:tc>
        <w:tc>
          <w:tcPr>
            <w:tcW w:w="1814" w:type="dxa"/>
          </w:tcPr>
          <w:p w14:paraId="1D0F59F9" w14:textId="77777777" w:rsidR="00643609" w:rsidRDefault="000651AA">
            <w:r>
              <w:rPr>
                <w:sz w:val="20"/>
              </w:rPr>
              <w:t>✔</w:t>
            </w:r>
          </w:p>
        </w:tc>
        <w:tc>
          <w:tcPr>
            <w:tcW w:w="1814" w:type="dxa"/>
          </w:tcPr>
          <w:p w14:paraId="70FB557C" w14:textId="77777777" w:rsidR="00643609" w:rsidRDefault="000651AA">
            <w:r>
              <w:rPr>
                <w:sz w:val="20"/>
              </w:rPr>
              <w:t>✔</w:t>
            </w:r>
          </w:p>
        </w:tc>
      </w:tr>
      <w:tr w:rsidR="00643609" w14:paraId="774FFEEA" w14:textId="77777777">
        <w:trPr>
          <w:cantSplit/>
          <w:jc w:val="center"/>
        </w:trPr>
        <w:tc>
          <w:tcPr>
            <w:tcW w:w="1814" w:type="dxa"/>
          </w:tcPr>
          <w:p w14:paraId="507FCC8E" w14:textId="77777777" w:rsidR="00643609" w:rsidRDefault="000651AA">
            <w:r>
              <w:rPr>
                <w:sz w:val="20"/>
              </w:rPr>
              <w:t>Biodiversidade e serviços ecossistêmicos</w:t>
            </w:r>
          </w:p>
        </w:tc>
        <w:tc>
          <w:tcPr>
            <w:tcW w:w="1814" w:type="dxa"/>
          </w:tcPr>
          <w:p w14:paraId="51D74704" w14:textId="77777777" w:rsidR="00643609" w:rsidRDefault="000651AA">
            <w:r>
              <w:rPr>
                <w:sz w:val="20"/>
              </w:rPr>
              <w:t>Conservação e uso sustentável da biodiversidade</w:t>
            </w:r>
          </w:p>
        </w:tc>
        <w:tc>
          <w:tcPr>
            <w:tcW w:w="1814" w:type="dxa"/>
          </w:tcPr>
          <w:p w14:paraId="4ACC3FB7" w14:textId="77777777" w:rsidR="00643609" w:rsidRDefault="000651AA">
            <w:r>
              <w:rPr>
                <w:sz w:val="20"/>
              </w:rPr>
              <w:t>✔</w:t>
            </w:r>
          </w:p>
        </w:tc>
        <w:tc>
          <w:tcPr>
            <w:tcW w:w="1814" w:type="dxa"/>
          </w:tcPr>
          <w:p w14:paraId="18B53277" w14:textId="77777777" w:rsidR="00643609" w:rsidRDefault="000651AA">
            <w:r>
              <w:rPr>
                <w:sz w:val="20"/>
              </w:rPr>
              <w:t>✔</w:t>
            </w:r>
          </w:p>
        </w:tc>
        <w:tc>
          <w:tcPr>
            <w:tcW w:w="1814" w:type="dxa"/>
          </w:tcPr>
          <w:p w14:paraId="7A5DB0AE" w14:textId="77777777" w:rsidR="00643609" w:rsidRDefault="000651AA">
            <w:r>
              <w:rPr>
                <w:sz w:val="20"/>
              </w:rPr>
              <w:t>✔</w:t>
            </w:r>
          </w:p>
        </w:tc>
      </w:tr>
      <w:tr w:rsidR="00643609" w14:paraId="09A58E9C" w14:textId="77777777">
        <w:trPr>
          <w:cantSplit/>
          <w:jc w:val="center"/>
        </w:trPr>
        <w:tc>
          <w:tcPr>
            <w:tcW w:w="1814" w:type="dxa"/>
          </w:tcPr>
          <w:p w14:paraId="52F35303" w14:textId="77777777" w:rsidR="00643609" w:rsidRDefault="00643609"/>
        </w:tc>
        <w:tc>
          <w:tcPr>
            <w:tcW w:w="1814" w:type="dxa"/>
          </w:tcPr>
          <w:p w14:paraId="5BC48B9B" w14:textId="77777777" w:rsidR="00643609" w:rsidRDefault="000651AA">
            <w:r>
              <w:rPr>
                <w:sz w:val="20"/>
              </w:rPr>
              <w:t xml:space="preserve">Uso </w:t>
            </w:r>
            <w:r>
              <w:rPr>
                <w:sz w:val="20"/>
              </w:rPr>
              <w:t>sustentável do solo</w:t>
            </w:r>
          </w:p>
        </w:tc>
        <w:tc>
          <w:tcPr>
            <w:tcW w:w="1814" w:type="dxa"/>
          </w:tcPr>
          <w:p w14:paraId="1E2C9A45" w14:textId="77777777" w:rsidR="00643609" w:rsidRDefault="000651AA">
            <w:r>
              <w:rPr>
                <w:sz w:val="20"/>
              </w:rPr>
              <w:t>✔</w:t>
            </w:r>
          </w:p>
        </w:tc>
        <w:tc>
          <w:tcPr>
            <w:tcW w:w="1814" w:type="dxa"/>
          </w:tcPr>
          <w:p w14:paraId="3026FE31" w14:textId="77777777" w:rsidR="00643609" w:rsidRDefault="000651AA">
            <w:r>
              <w:rPr>
                <w:sz w:val="20"/>
              </w:rPr>
              <w:t>🗶</w:t>
            </w:r>
          </w:p>
        </w:tc>
        <w:tc>
          <w:tcPr>
            <w:tcW w:w="1814" w:type="dxa"/>
          </w:tcPr>
          <w:p w14:paraId="62F26F52" w14:textId="77777777" w:rsidR="00643609" w:rsidRDefault="000651AA">
            <w:r>
              <w:rPr>
                <w:sz w:val="20"/>
              </w:rPr>
              <w:t>✔</w:t>
            </w:r>
          </w:p>
        </w:tc>
      </w:tr>
      <w:tr w:rsidR="00643609" w14:paraId="54F39F65" w14:textId="77777777">
        <w:trPr>
          <w:cantSplit/>
          <w:jc w:val="center"/>
        </w:trPr>
        <w:tc>
          <w:tcPr>
            <w:tcW w:w="1814" w:type="dxa"/>
          </w:tcPr>
          <w:p w14:paraId="2F5CA6C7" w14:textId="77777777" w:rsidR="00643609" w:rsidRDefault="000651AA">
            <w:r>
              <w:rPr>
                <w:sz w:val="20"/>
              </w:rPr>
              <w:t>Economia circular e gestão de resíduos</w:t>
            </w:r>
          </w:p>
        </w:tc>
        <w:tc>
          <w:tcPr>
            <w:tcW w:w="1814" w:type="dxa"/>
          </w:tcPr>
          <w:p w14:paraId="1076EB4D" w14:textId="77777777" w:rsidR="00643609" w:rsidRDefault="000651AA">
            <w:r>
              <w:rPr>
                <w:sz w:val="20"/>
              </w:rPr>
              <w:t>Economia circular</w:t>
            </w:r>
          </w:p>
        </w:tc>
        <w:tc>
          <w:tcPr>
            <w:tcW w:w="1814" w:type="dxa"/>
          </w:tcPr>
          <w:p w14:paraId="3D2D95A1" w14:textId="77777777" w:rsidR="00643609" w:rsidRDefault="000651AA">
            <w:r>
              <w:rPr>
                <w:sz w:val="20"/>
              </w:rPr>
              <w:t>✔</w:t>
            </w:r>
          </w:p>
        </w:tc>
        <w:tc>
          <w:tcPr>
            <w:tcW w:w="1814" w:type="dxa"/>
          </w:tcPr>
          <w:p w14:paraId="18D22538" w14:textId="77777777" w:rsidR="00643609" w:rsidRDefault="000651AA">
            <w:r>
              <w:rPr>
                <w:sz w:val="20"/>
              </w:rPr>
              <w:t>✔</w:t>
            </w:r>
          </w:p>
        </w:tc>
        <w:tc>
          <w:tcPr>
            <w:tcW w:w="1814" w:type="dxa"/>
          </w:tcPr>
          <w:p w14:paraId="50EAA61E" w14:textId="77777777" w:rsidR="00643609" w:rsidRDefault="000651AA">
            <w:r>
              <w:rPr>
                <w:sz w:val="20"/>
              </w:rPr>
              <w:t>✔</w:t>
            </w:r>
          </w:p>
        </w:tc>
      </w:tr>
      <w:tr w:rsidR="00643609" w14:paraId="0D575192" w14:textId="77777777">
        <w:trPr>
          <w:cantSplit/>
          <w:jc w:val="center"/>
        </w:trPr>
        <w:tc>
          <w:tcPr>
            <w:tcW w:w="1814" w:type="dxa"/>
          </w:tcPr>
          <w:p w14:paraId="2136BF02" w14:textId="77777777" w:rsidR="00643609" w:rsidRDefault="00643609"/>
        </w:tc>
        <w:tc>
          <w:tcPr>
            <w:tcW w:w="1814" w:type="dxa"/>
          </w:tcPr>
          <w:p w14:paraId="4C4A76FC" w14:textId="77777777" w:rsidR="00643609" w:rsidRDefault="000651AA">
            <w:r>
              <w:rPr>
                <w:sz w:val="20"/>
              </w:rPr>
              <w:t>Gestão de resíduos</w:t>
            </w:r>
          </w:p>
        </w:tc>
        <w:tc>
          <w:tcPr>
            <w:tcW w:w="1814" w:type="dxa"/>
          </w:tcPr>
          <w:p w14:paraId="5FC3716B" w14:textId="77777777" w:rsidR="00643609" w:rsidRDefault="000651AA">
            <w:r>
              <w:rPr>
                <w:sz w:val="20"/>
              </w:rPr>
              <w:t>✔</w:t>
            </w:r>
          </w:p>
        </w:tc>
        <w:tc>
          <w:tcPr>
            <w:tcW w:w="1814" w:type="dxa"/>
          </w:tcPr>
          <w:p w14:paraId="67E307D6" w14:textId="77777777" w:rsidR="00643609" w:rsidRDefault="000651AA">
            <w:r>
              <w:rPr>
                <w:sz w:val="20"/>
              </w:rPr>
              <w:t>✔</w:t>
            </w:r>
          </w:p>
        </w:tc>
        <w:tc>
          <w:tcPr>
            <w:tcW w:w="1814" w:type="dxa"/>
          </w:tcPr>
          <w:p w14:paraId="0BB08126" w14:textId="77777777" w:rsidR="00643609" w:rsidRDefault="000651AA">
            <w:r>
              <w:rPr>
                <w:sz w:val="20"/>
              </w:rPr>
              <w:t>✔</w:t>
            </w:r>
          </w:p>
        </w:tc>
      </w:tr>
      <w:tr w:rsidR="00643609" w14:paraId="432420C9" w14:textId="77777777">
        <w:trPr>
          <w:cantSplit/>
          <w:jc w:val="center"/>
        </w:trPr>
        <w:tc>
          <w:tcPr>
            <w:tcW w:w="1814" w:type="dxa"/>
          </w:tcPr>
          <w:p w14:paraId="69E0FB72" w14:textId="77777777" w:rsidR="00643609" w:rsidRDefault="000651AA">
            <w:r>
              <w:rPr>
                <w:sz w:val="20"/>
              </w:rPr>
              <w:t>Gestão ambiental e prevenção da poluição</w:t>
            </w:r>
          </w:p>
        </w:tc>
        <w:tc>
          <w:tcPr>
            <w:tcW w:w="1814" w:type="dxa"/>
          </w:tcPr>
          <w:p w14:paraId="771B2119" w14:textId="77777777" w:rsidR="00643609" w:rsidRDefault="000651AA">
            <w:r>
              <w:rPr>
                <w:sz w:val="20"/>
              </w:rPr>
              <w:t>Gestão ambiental</w:t>
            </w:r>
          </w:p>
        </w:tc>
        <w:tc>
          <w:tcPr>
            <w:tcW w:w="1814" w:type="dxa"/>
          </w:tcPr>
          <w:p w14:paraId="66D1B05E" w14:textId="77777777" w:rsidR="00643609" w:rsidRDefault="000651AA">
            <w:r>
              <w:rPr>
                <w:sz w:val="20"/>
              </w:rPr>
              <w:t>✔</w:t>
            </w:r>
          </w:p>
        </w:tc>
        <w:tc>
          <w:tcPr>
            <w:tcW w:w="1814" w:type="dxa"/>
          </w:tcPr>
          <w:p w14:paraId="156802C2" w14:textId="77777777" w:rsidR="00643609" w:rsidRDefault="000651AA">
            <w:r>
              <w:rPr>
                <w:sz w:val="20"/>
              </w:rPr>
              <w:t>✔</w:t>
            </w:r>
          </w:p>
        </w:tc>
        <w:tc>
          <w:tcPr>
            <w:tcW w:w="1814" w:type="dxa"/>
          </w:tcPr>
          <w:p w14:paraId="523E8293" w14:textId="77777777" w:rsidR="00643609" w:rsidRDefault="000651AA">
            <w:r>
              <w:rPr>
                <w:sz w:val="20"/>
              </w:rPr>
              <w:t>✔</w:t>
            </w:r>
          </w:p>
        </w:tc>
      </w:tr>
      <w:tr w:rsidR="00643609" w14:paraId="33B19CBB" w14:textId="77777777">
        <w:trPr>
          <w:cantSplit/>
          <w:jc w:val="center"/>
        </w:trPr>
        <w:tc>
          <w:tcPr>
            <w:tcW w:w="1814" w:type="dxa"/>
          </w:tcPr>
          <w:p w14:paraId="5C0AA1A0" w14:textId="77777777" w:rsidR="00643609" w:rsidRDefault="00643609"/>
        </w:tc>
        <w:tc>
          <w:tcPr>
            <w:tcW w:w="1814" w:type="dxa"/>
          </w:tcPr>
          <w:p w14:paraId="1EE75277" w14:textId="77777777" w:rsidR="00643609" w:rsidRDefault="000651AA">
            <w:r>
              <w:rPr>
                <w:sz w:val="20"/>
              </w:rPr>
              <w:t>Prevenção da poluição sonora (ruídos e vibrações)</w:t>
            </w:r>
          </w:p>
        </w:tc>
        <w:tc>
          <w:tcPr>
            <w:tcW w:w="1814" w:type="dxa"/>
          </w:tcPr>
          <w:p w14:paraId="2B5362D1" w14:textId="77777777" w:rsidR="00643609" w:rsidRDefault="000651AA">
            <w:r>
              <w:rPr>
                <w:sz w:val="20"/>
              </w:rPr>
              <w:t>🗶</w:t>
            </w:r>
          </w:p>
        </w:tc>
        <w:tc>
          <w:tcPr>
            <w:tcW w:w="1814" w:type="dxa"/>
          </w:tcPr>
          <w:p w14:paraId="3902BF9F" w14:textId="77777777" w:rsidR="00643609" w:rsidRDefault="000651AA">
            <w:r>
              <w:rPr>
                <w:sz w:val="20"/>
              </w:rPr>
              <w:t>🗶</w:t>
            </w:r>
          </w:p>
        </w:tc>
        <w:tc>
          <w:tcPr>
            <w:tcW w:w="1814" w:type="dxa"/>
          </w:tcPr>
          <w:p w14:paraId="397E0C7B" w14:textId="77777777" w:rsidR="00643609" w:rsidRDefault="000651AA">
            <w:r>
              <w:rPr>
                <w:sz w:val="20"/>
              </w:rPr>
              <w:t>🗶</w:t>
            </w:r>
          </w:p>
        </w:tc>
      </w:tr>
      <w:tr w:rsidR="00643609" w14:paraId="4F08E96B" w14:textId="77777777">
        <w:trPr>
          <w:cantSplit/>
          <w:jc w:val="center"/>
        </w:trPr>
        <w:tc>
          <w:tcPr>
            <w:tcW w:w="1814" w:type="dxa"/>
          </w:tcPr>
          <w:p w14:paraId="3FD687CD" w14:textId="77777777" w:rsidR="00643609" w:rsidRDefault="00643609"/>
        </w:tc>
        <w:tc>
          <w:tcPr>
            <w:tcW w:w="1814" w:type="dxa"/>
          </w:tcPr>
          <w:p w14:paraId="2424A375" w14:textId="77777777" w:rsidR="00643609" w:rsidRDefault="000651AA">
            <w:r>
              <w:rPr>
                <w:sz w:val="20"/>
              </w:rPr>
              <w:t>Qualidade do ar (emissões de poluentes)</w:t>
            </w:r>
          </w:p>
        </w:tc>
        <w:tc>
          <w:tcPr>
            <w:tcW w:w="1814" w:type="dxa"/>
          </w:tcPr>
          <w:p w14:paraId="2C9F8D22" w14:textId="77777777" w:rsidR="00643609" w:rsidRDefault="000651AA">
            <w:r>
              <w:rPr>
                <w:sz w:val="20"/>
              </w:rPr>
              <w:t>🗶</w:t>
            </w:r>
          </w:p>
        </w:tc>
        <w:tc>
          <w:tcPr>
            <w:tcW w:w="1814" w:type="dxa"/>
          </w:tcPr>
          <w:p w14:paraId="7FF60BB8" w14:textId="77777777" w:rsidR="00643609" w:rsidRDefault="000651AA">
            <w:r>
              <w:rPr>
                <w:sz w:val="20"/>
              </w:rPr>
              <w:t>🗶</w:t>
            </w:r>
          </w:p>
        </w:tc>
        <w:tc>
          <w:tcPr>
            <w:tcW w:w="1814" w:type="dxa"/>
          </w:tcPr>
          <w:p w14:paraId="1D2C7ECB" w14:textId="77777777" w:rsidR="00643609" w:rsidRDefault="000651AA">
            <w:r>
              <w:rPr>
                <w:sz w:val="20"/>
              </w:rPr>
              <w:t>🗶</w:t>
            </w:r>
          </w:p>
        </w:tc>
      </w:tr>
      <w:tr w:rsidR="00643609" w14:paraId="0D16C377" w14:textId="77777777">
        <w:trPr>
          <w:cantSplit/>
          <w:jc w:val="center"/>
        </w:trPr>
        <w:tc>
          <w:tcPr>
            <w:tcW w:w="1814" w:type="dxa"/>
          </w:tcPr>
          <w:p w14:paraId="23EF8623" w14:textId="77777777" w:rsidR="00643609" w:rsidRDefault="00643609"/>
        </w:tc>
        <w:tc>
          <w:tcPr>
            <w:tcW w:w="1814" w:type="dxa"/>
          </w:tcPr>
          <w:p w14:paraId="36F9C581" w14:textId="77777777" w:rsidR="00643609" w:rsidRDefault="000651AA">
            <w:r>
              <w:rPr>
                <w:sz w:val="20"/>
              </w:rPr>
              <w:t>Gerenciamento de áreas contaminadas</w:t>
            </w:r>
          </w:p>
        </w:tc>
        <w:tc>
          <w:tcPr>
            <w:tcW w:w="1814" w:type="dxa"/>
          </w:tcPr>
          <w:p w14:paraId="271AC912" w14:textId="77777777" w:rsidR="00643609" w:rsidRDefault="000651AA">
            <w:r>
              <w:rPr>
                <w:sz w:val="20"/>
              </w:rPr>
              <w:t>🗶</w:t>
            </w:r>
          </w:p>
        </w:tc>
        <w:tc>
          <w:tcPr>
            <w:tcW w:w="1814" w:type="dxa"/>
          </w:tcPr>
          <w:p w14:paraId="49A07DE5" w14:textId="77777777" w:rsidR="00643609" w:rsidRDefault="000651AA">
            <w:r>
              <w:rPr>
                <w:sz w:val="20"/>
              </w:rPr>
              <w:t>🗶</w:t>
            </w:r>
          </w:p>
        </w:tc>
        <w:tc>
          <w:tcPr>
            <w:tcW w:w="1814" w:type="dxa"/>
          </w:tcPr>
          <w:p w14:paraId="2D0AA989" w14:textId="77777777" w:rsidR="00643609" w:rsidRDefault="000651AA">
            <w:r>
              <w:rPr>
                <w:sz w:val="20"/>
              </w:rPr>
              <w:t>🗶</w:t>
            </w:r>
          </w:p>
        </w:tc>
      </w:tr>
      <w:tr w:rsidR="00643609" w14:paraId="420FA6FE" w14:textId="77777777">
        <w:trPr>
          <w:cantSplit/>
          <w:jc w:val="center"/>
        </w:trPr>
        <w:tc>
          <w:tcPr>
            <w:tcW w:w="1814" w:type="dxa"/>
          </w:tcPr>
          <w:p w14:paraId="3D5565C7" w14:textId="77777777" w:rsidR="00643609" w:rsidRDefault="00643609"/>
        </w:tc>
        <w:tc>
          <w:tcPr>
            <w:tcW w:w="1814" w:type="dxa"/>
          </w:tcPr>
          <w:p w14:paraId="102E49F4" w14:textId="77777777" w:rsidR="00643609" w:rsidRDefault="000651AA">
            <w:r>
              <w:rPr>
                <w:sz w:val="20"/>
              </w:rPr>
              <w:t>Produtos perigosos</w:t>
            </w:r>
          </w:p>
        </w:tc>
        <w:tc>
          <w:tcPr>
            <w:tcW w:w="1814" w:type="dxa"/>
          </w:tcPr>
          <w:p w14:paraId="5AD7D421" w14:textId="77777777" w:rsidR="00643609" w:rsidRDefault="000651AA">
            <w:r>
              <w:rPr>
                <w:sz w:val="20"/>
              </w:rPr>
              <w:t>✔</w:t>
            </w:r>
          </w:p>
        </w:tc>
        <w:tc>
          <w:tcPr>
            <w:tcW w:w="1814" w:type="dxa"/>
          </w:tcPr>
          <w:p w14:paraId="24F1E290" w14:textId="77777777" w:rsidR="00643609" w:rsidRDefault="000651AA">
            <w:r>
              <w:rPr>
                <w:sz w:val="20"/>
              </w:rPr>
              <w:t>✔</w:t>
            </w:r>
          </w:p>
        </w:tc>
        <w:tc>
          <w:tcPr>
            <w:tcW w:w="1814" w:type="dxa"/>
          </w:tcPr>
          <w:p w14:paraId="6E8D695A" w14:textId="77777777" w:rsidR="00643609" w:rsidRDefault="000651AA">
            <w:r>
              <w:rPr>
                <w:sz w:val="20"/>
              </w:rPr>
              <w:t>✔</w:t>
            </w:r>
          </w:p>
        </w:tc>
      </w:tr>
    </w:tbl>
    <w:p w14:paraId="6D863D81" w14:textId="77777777" w:rsidR="00643609" w:rsidRDefault="00643609">
      <w:pPr>
        <w:spacing w:after="0" w:line="240" w:lineRule="auto"/>
      </w:pPr>
    </w:p>
    <w:p w14:paraId="51F278E5" w14:textId="77777777" w:rsidR="00643609" w:rsidRDefault="000651AA">
      <w:pPr>
        <w:keepLines/>
        <w:spacing w:after="240" w:line="240" w:lineRule="auto"/>
      </w:pPr>
      <w:r>
        <w:rPr>
          <w:sz w:val="20"/>
        </w:rPr>
        <w:t>Fonte: Adaptado de ABNT PR 2030 (2022)</w:t>
      </w:r>
    </w:p>
    <w:p w14:paraId="5E14CCEB" w14:textId="77777777" w:rsidR="00643609" w:rsidRDefault="000651AA">
      <w:pPr>
        <w:spacing w:after="0" w:line="360" w:lineRule="auto"/>
        <w:ind w:firstLine="709"/>
        <w:jc w:val="both"/>
      </w:pPr>
      <w:r>
        <w:t xml:space="preserve">No eixo de mudanças climáticas, é possível observar que as empresas selecionadas </w:t>
      </w:r>
      <w:r>
        <w:t xml:space="preserve">demonstram preocupação com a redução das emissões de gases de efeito estufa e com a transição para uma economia de baixo carbono. Destacam-se os alinhamentos a compromissos internacionais e utilização de fontes de energia renováveis, além de investimentos </w:t>
      </w:r>
      <w:r>
        <w:t>em eficiência energética.</w:t>
      </w:r>
    </w:p>
    <w:p w14:paraId="5F064A81" w14:textId="77777777" w:rsidR="00643609" w:rsidRDefault="000651AA">
      <w:pPr>
        <w:spacing w:after="0" w:line="360" w:lineRule="auto"/>
        <w:ind w:firstLine="709"/>
        <w:jc w:val="both"/>
      </w:pPr>
      <w:r>
        <w:t xml:space="preserve">Em relação aos recursos hídricos, observa-se que as organizações adotam práticas voltadas ao uso mais eficiente da água, por meio do monitoramento do </w:t>
      </w:r>
      <w:r>
        <w:lastRenderedPageBreak/>
        <w:t>consumo, da instalação de equipamentos hidroeconomizadores e da adoção de medida</w:t>
      </w:r>
      <w:r>
        <w:t>s de controle e tratamento de efluentes na cadeia produtiva.</w:t>
      </w:r>
    </w:p>
    <w:p w14:paraId="0F652FBA" w14:textId="77777777" w:rsidR="00643609" w:rsidRDefault="000651AA">
      <w:pPr>
        <w:spacing w:after="0" w:line="360" w:lineRule="auto"/>
        <w:ind w:firstLine="709"/>
        <w:jc w:val="both"/>
      </w:pPr>
      <w:r>
        <w:t>No campo da biodiversidade e dos serviços ecossistêmicos, as empresas têm ampliado a utilização de matérias-primas mais sustentáveis e certificadas, especialmente no uso de fibras naturais como o</w:t>
      </w:r>
      <w:r>
        <w:t xml:space="preserve"> algodão. Também são observadas iniciativas voltadas à promoção de práticas agrícolas mais sustentáveis e à adoção de critérios socioambientais na seleção de fornecedores, contribuindo para fortalecer cadeias produtivas mais responsáveis.</w:t>
      </w:r>
    </w:p>
    <w:p w14:paraId="37E4A586" w14:textId="77777777" w:rsidR="00643609" w:rsidRDefault="000651AA">
      <w:pPr>
        <w:spacing w:after="0" w:line="360" w:lineRule="auto"/>
        <w:ind w:firstLine="709"/>
        <w:jc w:val="both"/>
      </w:pPr>
      <w:r>
        <w:t>Na dimensão relac</w:t>
      </w:r>
      <w:r>
        <w:t>ionada à economia circular e gestão de resíduos, as empresas vêm implementando ações voltadas à redução da geração de resíduos e ao estímulo ao reaproveitamento de materiais. Entre as iniciativas identificadas destacam-se programas de coleta de roupas usad</w:t>
      </w:r>
      <w:r>
        <w:t>as, logística reversa, reciclagem de materiais e desenvolvimento de coleções com matérias-primas recicladas, buscando prolongar o ciclo de vida dos produtos e reduzir os impactos ambientais associados ao descarte de resíduos têxteis.</w:t>
      </w:r>
    </w:p>
    <w:p w14:paraId="59AECCEF" w14:textId="77777777" w:rsidR="00643609" w:rsidRDefault="000651AA">
      <w:pPr>
        <w:spacing w:after="0" w:line="360" w:lineRule="auto"/>
        <w:ind w:firstLine="709"/>
        <w:jc w:val="both"/>
      </w:pPr>
      <w:r>
        <w:t xml:space="preserve">No eixo social, </w:t>
      </w:r>
      <w:r>
        <w:t>conforme demonstra o Quadro 3, apresenta-se a forma como as companhias integram práticas de responsabilidade social, abrangendo as ações e políticas empresariais voltadas à valorização do capital humano, a promoção da equidade e ao fortalecimento das relaç</w:t>
      </w:r>
      <w:r>
        <w:t>ões com as partes interessadas, demonstrando o comprometimento com o desenvolvimento social e a construção de um ambiente corporativo ético, inclusivo e sustentável.</w:t>
      </w:r>
    </w:p>
    <w:tbl>
      <w:tblPr>
        <w:tblStyle w:val="Tabelacomgrade"/>
        <w:tblW w:w="0" w:type="auto"/>
        <w:jc w:val="center"/>
        <w:tblLayout w:type="fixed"/>
        <w:tblLook w:val="04A0" w:firstRow="1" w:lastRow="0" w:firstColumn="1" w:lastColumn="0" w:noHBand="0" w:noVBand="1"/>
      </w:tblPr>
      <w:tblGrid>
        <w:gridCol w:w="1814"/>
        <w:gridCol w:w="1814"/>
        <w:gridCol w:w="1814"/>
        <w:gridCol w:w="1814"/>
        <w:gridCol w:w="1814"/>
      </w:tblGrid>
      <w:tr w:rsidR="00643609" w14:paraId="642BA86A" w14:textId="77777777">
        <w:trPr>
          <w:cantSplit/>
          <w:tblHeader/>
          <w:jc w:val="center"/>
        </w:trPr>
        <w:tc>
          <w:tcPr>
            <w:tcW w:w="9070" w:type="dxa"/>
            <w:gridSpan w:val="5"/>
            <w:tcBorders>
              <w:top w:val="nil"/>
              <w:left w:val="nil"/>
              <w:bottom w:val="nil"/>
              <w:right w:val="nil"/>
            </w:tcBorders>
          </w:tcPr>
          <w:p w14:paraId="21F8E310" w14:textId="77777777" w:rsidR="00643609" w:rsidRDefault="000651AA">
            <w:pPr>
              <w:keepNext/>
              <w:keepLines/>
              <w:spacing w:after="120"/>
            </w:pPr>
            <w:r>
              <w:rPr>
                <w:sz w:val="20"/>
              </w:rPr>
              <w:t>Quadro 3 - Eixo social</w:t>
            </w:r>
          </w:p>
        </w:tc>
      </w:tr>
      <w:tr w:rsidR="00643609" w14:paraId="096EAB4E" w14:textId="77777777">
        <w:trPr>
          <w:cantSplit/>
          <w:tblHeader/>
          <w:jc w:val="center"/>
        </w:trPr>
        <w:tc>
          <w:tcPr>
            <w:tcW w:w="1814" w:type="dxa"/>
            <w:shd w:val="clear" w:color="auto" w:fill="E7E6E6"/>
          </w:tcPr>
          <w:p w14:paraId="79E8CEE9" w14:textId="77777777" w:rsidR="00643609" w:rsidRDefault="000651AA">
            <w:pPr>
              <w:keepNext/>
            </w:pPr>
            <w:r>
              <w:rPr>
                <w:b/>
                <w:sz w:val="20"/>
              </w:rPr>
              <w:t>Eixo Social</w:t>
            </w:r>
          </w:p>
        </w:tc>
        <w:tc>
          <w:tcPr>
            <w:tcW w:w="1814" w:type="dxa"/>
            <w:shd w:val="clear" w:color="auto" w:fill="E7E6E6"/>
          </w:tcPr>
          <w:p w14:paraId="7356A9C4" w14:textId="77777777" w:rsidR="00643609" w:rsidRDefault="00643609">
            <w:pPr>
              <w:keepNext/>
            </w:pPr>
          </w:p>
        </w:tc>
        <w:tc>
          <w:tcPr>
            <w:tcW w:w="1814" w:type="dxa"/>
            <w:shd w:val="clear" w:color="auto" w:fill="E7E6E6"/>
          </w:tcPr>
          <w:p w14:paraId="5EBBBE69" w14:textId="77777777" w:rsidR="00643609" w:rsidRDefault="00643609">
            <w:pPr>
              <w:keepNext/>
            </w:pPr>
          </w:p>
        </w:tc>
        <w:tc>
          <w:tcPr>
            <w:tcW w:w="1814" w:type="dxa"/>
            <w:shd w:val="clear" w:color="auto" w:fill="E7E6E6"/>
          </w:tcPr>
          <w:p w14:paraId="6384A5DF" w14:textId="77777777" w:rsidR="00643609" w:rsidRDefault="00643609">
            <w:pPr>
              <w:keepNext/>
            </w:pPr>
          </w:p>
        </w:tc>
        <w:tc>
          <w:tcPr>
            <w:tcW w:w="1814" w:type="dxa"/>
            <w:shd w:val="clear" w:color="auto" w:fill="E7E6E6"/>
          </w:tcPr>
          <w:p w14:paraId="72DC5325" w14:textId="77777777" w:rsidR="00643609" w:rsidRDefault="00643609">
            <w:pPr>
              <w:keepNext/>
            </w:pPr>
          </w:p>
        </w:tc>
      </w:tr>
      <w:tr w:rsidR="00643609" w14:paraId="7EF63E33" w14:textId="77777777">
        <w:trPr>
          <w:cantSplit/>
          <w:jc w:val="center"/>
        </w:trPr>
        <w:tc>
          <w:tcPr>
            <w:tcW w:w="1814" w:type="dxa"/>
          </w:tcPr>
          <w:p w14:paraId="75AE825C" w14:textId="77777777" w:rsidR="00643609" w:rsidRDefault="000651AA">
            <w:r>
              <w:rPr>
                <w:sz w:val="20"/>
              </w:rPr>
              <w:t>Tema</w:t>
            </w:r>
          </w:p>
        </w:tc>
        <w:tc>
          <w:tcPr>
            <w:tcW w:w="1814" w:type="dxa"/>
          </w:tcPr>
          <w:p w14:paraId="42CBF803" w14:textId="77777777" w:rsidR="00643609" w:rsidRDefault="000651AA">
            <w:r>
              <w:rPr>
                <w:sz w:val="20"/>
              </w:rPr>
              <w:t>Critério</w:t>
            </w:r>
          </w:p>
        </w:tc>
        <w:tc>
          <w:tcPr>
            <w:tcW w:w="1814" w:type="dxa"/>
          </w:tcPr>
          <w:p w14:paraId="25F656D8" w14:textId="77777777" w:rsidR="00643609" w:rsidRDefault="000651AA">
            <w:r>
              <w:rPr>
                <w:sz w:val="20"/>
              </w:rPr>
              <w:t>Renner</w:t>
            </w:r>
          </w:p>
        </w:tc>
        <w:tc>
          <w:tcPr>
            <w:tcW w:w="1814" w:type="dxa"/>
          </w:tcPr>
          <w:p w14:paraId="766E6871" w14:textId="77777777" w:rsidR="00643609" w:rsidRDefault="000651AA">
            <w:r>
              <w:rPr>
                <w:sz w:val="20"/>
              </w:rPr>
              <w:t>C&amp;A</w:t>
            </w:r>
          </w:p>
        </w:tc>
        <w:tc>
          <w:tcPr>
            <w:tcW w:w="1814" w:type="dxa"/>
          </w:tcPr>
          <w:p w14:paraId="04A9BE4D" w14:textId="77777777" w:rsidR="00643609" w:rsidRDefault="000651AA">
            <w:r>
              <w:rPr>
                <w:sz w:val="20"/>
              </w:rPr>
              <w:t>Riachuel o</w:t>
            </w:r>
          </w:p>
        </w:tc>
      </w:tr>
      <w:tr w:rsidR="00643609" w14:paraId="2FBF83AA" w14:textId="77777777">
        <w:trPr>
          <w:cantSplit/>
          <w:jc w:val="center"/>
        </w:trPr>
        <w:tc>
          <w:tcPr>
            <w:tcW w:w="1814" w:type="dxa"/>
          </w:tcPr>
          <w:p w14:paraId="47BD2D80" w14:textId="77777777" w:rsidR="00643609" w:rsidRDefault="000651AA">
            <w:r>
              <w:rPr>
                <w:sz w:val="20"/>
              </w:rPr>
              <w:t>Diálogo social e desenvolvimento territorial</w:t>
            </w:r>
          </w:p>
        </w:tc>
        <w:tc>
          <w:tcPr>
            <w:tcW w:w="1814" w:type="dxa"/>
          </w:tcPr>
          <w:p w14:paraId="3F8774D2" w14:textId="77777777" w:rsidR="00643609" w:rsidRDefault="000651AA">
            <w:r>
              <w:rPr>
                <w:sz w:val="20"/>
              </w:rPr>
              <w:t>Investimento social privado</w:t>
            </w:r>
          </w:p>
        </w:tc>
        <w:tc>
          <w:tcPr>
            <w:tcW w:w="1814" w:type="dxa"/>
          </w:tcPr>
          <w:p w14:paraId="4A9976A7" w14:textId="77777777" w:rsidR="00643609" w:rsidRDefault="000651AA">
            <w:r>
              <w:rPr>
                <w:sz w:val="20"/>
              </w:rPr>
              <w:t>✔</w:t>
            </w:r>
          </w:p>
        </w:tc>
        <w:tc>
          <w:tcPr>
            <w:tcW w:w="1814" w:type="dxa"/>
          </w:tcPr>
          <w:p w14:paraId="7C69C0C0" w14:textId="77777777" w:rsidR="00643609" w:rsidRDefault="000651AA">
            <w:r>
              <w:rPr>
                <w:sz w:val="20"/>
              </w:rPr>
              <w:t>✔</w:t>
            </w:r>
          </w:p>
        </w:tc>
        <w:tc>
          <w:tcPr>
            <w:tcW w:w="1814" w:type="dxa"/>
          </w:tcPr>
          <w:p w14:paraId="00148F06" w14:textId="77777777" w:rsidR="00643609" w:rsidRDefault="000651AA">
            <w:r>
              <w:rPr>
                <w:sz w:val="20"/>
              </w:rPr>
              <w:t>✔</w:t>
            </w:r>
          </w:p>
        </w:tc>
      </w:tr>
      <w:tr w:rsidR="00643609" w14:paraId="6FB74F46" w14:textId="77777777">
        <w:trPr>
          <w:cantSplit/>
          <w:jc w:val="center"/>
        </w:trPr>
        <w:tc>
          <w:tcPr>
            <w:tcW w:w="1814" w:type="dxa"/>
          </w:tcPr>
          <w:p w14:paraId="612AEA39" w14:textId="77777777" w:rsidR="00643609" w:rsidRDefault="00643609"/>
        </w:tc>
        <w:tc>
          <w:tcPr>
            <w:tcW w:w="1814" w:type="dxa"/>
          </w:tcPr>
          <w:p w14:paraId="46686F8A" w14:textId="77777777" w:rsidR="00643609" w:rsidRDefault="000651AA">
            <w:r>
              <w:rPr>
                <w:sz w:val="20"/>
              </w:rPr>
              <w:t>Diálogo e engajamento das partes interessadas</w:t>
            </w:r>
          </w:p>
        </w:tc>
        <w:tc>
          <w:tcPr>
            <w:tcW w:w="1814" w:type="dxa"/>
          </w:tcPr>
          <w:p w14:paraId="2F8BCB03" w14:textId="77777777" w:rsidR="00643609" w:rsidRDefault="000651AA">
            <w:r>
              <w:rPr>
                <w:sz w:val="20"/>
              </w:rPr>
              <w:t>✔</w:t>
            </w:r>
          </w:p>
        </w:tc>
        <w:tc>
          <w:tcPr>
            <w:tcW w:w="1814" w:type="dxa"/>
          </w:tcPr>
          <w:p w14:paraId="20F80FAD" w14:textId="77777777" w:rsidR="00643609" w:rsidRDefault="000651AA">
            <w:r>
              <w:rPr>
                <w:sz w:val="20"/>
              </w:rPr>
              <w:t>✔</w:t>
            </w:r>
          </w:p>
        </w:tc>
        <w:tc>
          <w:tcPr>
            <w:tcW w:w="1814" w:type="dxa"/>
          </w:tcPr>
          <w:p w14:paraId="677E34AA" w14:textId="77777777" w:rsidR="00643609" w:rsidRDefault="000651AA">
            <w:r>
              <w:rPr>
                <w:sz w:val="20"/>
              </w:rPr>
              <w:t>✔</w:t>
            </w:r>
          </w:p>
        </w:tc>
      </w:tr>
      <w:tr w:rsidR="00643609" w14:paraId="3B3FA5BC" w14:textId="77777777">
        <w:trPr>
          <w:cantSplit/>
          <w:jc w:val="center"/>
        </w:trPr>
        <w:tc>
          <w:tcPr>
            <w:tcW w:w="1814" w:type="dxa"/>
          </w:tcPr>
          <w:p w14:paraId="66691163" w14:textId="77777777" w:rsidR="00643609" w:rsidRDefault="00643609"/>
        </w:tc>
        <w:tc>
          <w:tcPr>
            <w:tcW w:w="1814" w:type="dxa"/>
          </w:tcPr>
          <w:p w14:paraId="67CCDE9A" w14:textId="77777777" w:rsidR="00643609" w:rsidRDefault="000651AA">
            <w:r>
              <w:rPr>
                <w:sz w:val="20"/>
              </w:rPr>
              <w:t>Impacto social</w:t>
            </w:r>
          </w:p>
        </w:tc>
        <w:tc>
          <w:tcPr>
            <w:tcW w:w="1814" w:type="dxa"/>
          </w:tcPr>
          <w:p w14:paraId="39849968" w14:textId="77777777" w:rsidR="00643609" w:rsidRDefault="000651AA">
            <w:r>
              <w:rPr>
                <w:sz w:val="20"/>
              </w:rPr>
              <w:t>✔</w:t>
            </w:r>
          </w:p>
        </w:tc>
        <w:tc>
          <w:tcPr>
            <w:tcW w:w="1814" w:type="dxa"/>
          </w:tcPr>
          <w:p w14:paraId="2EFDEDFE" w14:textId="77777777" w:rsidR="00643609" w:rsidRDefault="000651AA">
            <w:r>
              <w:rPr>
                <w:sz w:val="20"/>
              </w:rPr>
              <w:t>✔</w:t>
            </w:r>
          </w:p>
        </w:tc>
        <w:tc>
          <w:tcPr>
            <w:tcW w:w="1814" w:type="dxa"/>
          </w:tcPr>
          <w:p w14:paraId="5EA0007D" w14:textId="77777777" w:rsidR="00643609" w:rsidRDefault="000651AA">
            <w:r>
              <w:rPr>
                <w:sz w:val="20"/>
              </w:rPr>
              <w:t>✔</w:t>
            </w:r>
          </w:p>
        </w:tc>
      </w:tr>
      <w:tr w:rsidR="00643609" w14:paraId="6E61BD79" w14:textId="77777777">
        <w:trPr>
          <w:cantSplit/>
          <w:jc w:val="center"/>
        </w:trPr>
        <w:tc>
          <w:tcPr>
            <w:tcW w:w="1814" w:type="dxa"/>
          </w:tcPr>
          <w:p w14:paraId="13C5ED79" w14:textId="77777777" w:rsidR="00643609" w:rsidRDefault="000651AA">
            <w:r>
              <w:rPr>
                <w:sz w:val="20"/>
              </w:rPr>
              <w:t>Direitos humanos</w:t>
            </w:r>
          </w:p>
        </w:tc>
        <w:tc>
          <w:tcPr>
            <w:tcW w:w="1814" w:type="dxa"/>
          </w:tcPr>
          <w:p w14:paraId="2B33FC12" w14:textId="77777777" w:rsidR="00643609" w:rsidRDefault="000651AA">
            <w:r>
              <w:rPr>
                <w:sz w:val="20"/>
              </w:rPr>
              <w:t>Respeito aos direitos humanos</w:t>
            </w:r>
          </w:p>
        </w:tc>
        <w:tc>
          <w:tcPr>
            <w:tcW w:w="1814" w:type="dxa"/>
          </w:tcPr>
          <w:p w14:paraId="045A1276" w14:textId="77777777" w:rsidR="00643609" w:rsidRDefault="000651AA">
            <w:r>
              <w:rPr>
                <w:sz w:val="20"/>
              </w:rPr>
              <w:t>✔</w:t>
            </w:r>
          </w:p>
        </w:tc>
        <w:tc>
          <w:tcPr>
            <w:tcW w:w="1814" w:type="dxa"/>
          </w:tcPr>
          <w:p w14:paraId="0E82FD21" w14:textId="77777777" w:rsidR="00643609" w:rsidRDefault="000651AA">
            <w:r>
              <w:rPr>
                <w:sz w:val="20"/>
              </w:rPr>
              <w:t>✔</w:t>
            </w:r>
          </w:p>
        </w:tc>
        <w:tc>
          <w:tcPr>
            <w:tcW w:w="1814" w:type="dxa"/>
          </w:tcPr>
          <w:p w14:paraId="5235A0AC" w14:textId="77777777" w:rsidR="00643609" w:rsidRDefault="000651AA">
            <w:r>
              <w:rPr>
                <w:sz w:val="20"/>
              </w:rPr>
              <w:t>✔</w:t>
            </w:r>
          </w:p>
        </w:tc>
      </w:tr>
      <w:tr w:rsidR="00643609" w14:paraId="29ACBA7C" w14:textId="77777777">
        <w:trPr>
          <w:cantSplit/>
          <w:jc w:val="center"/>
        </w:trPr>
        <w:tc>
          <w:tcPr>
            <w:tcW w:w="1814" w:type="dxa"/>
          </w:tcPr>
          <w:p w14:paraId="36AEC6BD" w14:textId="77777777" w:rsidR="00643609" w:rsidRDefault="00643609"/>
        </w:tc>
        <w:tc>
          <w:tcPr>
            <w:tcW w:w="1814" w:type="dxa"/>
          </w:tcPr>
          <w:p w14:paraId="6A0B1D32" w14:textId="77777777" w:rsidR="00643609" w:rsidRDefault="000651AA">
            <w:r>
              <w:rPr>
                <w:sz w:val="20"/>
              </w:rPr>
              <w:t xml:space="preserve">Combate ao trabalho forçado ou </w:t>
            </w:r>
            <w:r>
              <w:rPr>
                <w:sz w:val="20"/>
              </w:rPr>
              <w:t>compulsório</w:t>
            </w:r>
          </w:p>
        </w:tc>
        <w:tc>
          <w:tcPr>
            <w:tcW w:w="1814" w:type="dxa"/>
          </w:tcPr>
          <w:p w14:paraId="476BED84" w14:textId="77777777" w:rsidR="00643609" w:rsidRDefault="000651AA">
            <w:r>
              <w:rPr>
                <w:sz w:val="20"/>
              </w:rPr>
              <w:t>✔</w:t>
            </w:r>
          </w:p>
        </w:tc>
        <w:tc>
          <w:tcPr>
            <w:tcW w:w="1814" w:type="dxa"/>
          </w:tcPr>
          <w:p w14:paraId="1283BF71" w14:textId="77777777" w:rsidR="00643609" w:rsidRDefault="000651AA">
            <w:r>
              <w:rPr>
                <w:sz w:val="20"/>
              </w:rPr>
              <w:t>✔</w:t>
            </w:r>
          </w:p>
        </w:tc>
        <w:tc>
          <w:tcPr>
            <w:tcW w:w="1814" w:type="dxa"/>
          </w:tcPr>
          <w:p w14:paraId="63540766" w14:textId="77777777" w:rsidR="00643609" w:rsidRDefault="000651AA">
            <w:r>
              <w:rPr>
                <w:sz w:val="20"/>
              </w:rPr>
              <w:t>✔</w:t>
            </w:r>
          </w:p>
        </w:tc>
      </w:tr>
      <w:tr w:rsidR="00643609" w14:paraId="24912D8F" w14:textId="77777777">
        <w:trPr>
          <w:cantSplit/>
          <w:jc w:val="center"/>
        </w:trPr>
        <w:tc>
          <w:tcPr>
            <w:tcW w:w="1814" w:type="dxa"/>
          </w:tcPr>
          <w:p w14:paraId="627AE622" w14:textId="77777777" w:rsidR="00643609" w:rsidRDefault="00643609"/>
        </w:tc>
        <w:tc>
          <w:tcPr>
            <w:tcW w:w="1814" w:type="dxa"/>
          </w:tcPr>
          <w:p w14:paraId="1FDBA44F" w14:textId="77777777" w:rsidR="00643609" w:rsidRDefault="000651AA">
            <w:r>
              <w:rPr>
                <w:sz w:val="20"/>
              </w:rPr>
              <w:t>Combate ao trabalho infantil</w:t>
            </w:r>
          </w:p>
        </w:tc>
        <w:tc>
          <w:tcPr>
            <w:tcW w:w="1814" w:type="dxa"/>
          </w:tcPr>
          <w:p w14:paraId="483B2B23" w14:textId="77777777" w:rsidR="00643609" w:rsidRDefault="000651AA">
            <w:r>
              <w:rPr>
                <w:sz w:val="20"/>
              </w:rPr>
              <w:t>✔</w:t>
            </w:r>
          </w:p>
        </w:tc>
        <w:tc>
          <w:tcPr>
            <w:tcW w:w="1814" w:type="dxa"/>
          </w:tcPr>
          <w:p w14:paraId="20F2BFA6" w14:textId="77777777" w:rsidR="00643609" w:rsidRDefault="000651AA">
            <w:r>
              <w:rPr>
                <w:sz w:val="20"/>
              </w:rPr>
              <w:t>✔</w:t>
            </w:r>
          </w:p>
        </w:tc>
        <w:tc>
          <w:tcPr>
            <w:tcW w:w="1814" w:type="dxa"/>
          </w:tcPr>
          <w:p w14:paraId="1BAF064B" w14:textId="77777777" w:rsidR="00643609" w:rsidRDefault="000651AA">
            <w:r>
              <w:rPr>
                <w:sz w:val="20"/>
              </w:rPr>
              <w:t>✔</w:t>
            </w:r>
          </w:p>
        </w:tc>
      </w:tr>
      <w:tr w:rsidR="00643609" w14:paraId="41E09F44" w14:textId="77777777">
        <w:trPr>
          <w:cantSplit/>
          <w:jc w:val="center"/>
        </w:trPr>
        <w:tc>
          <w:tcPr>
            <w:tcW w:w="1814" w:type="dxa"/>
          </w:tcPr>
          <w:p w14:paraId="708D9745" w14:textId="77777777" w:rsidR="00643609" w:rsidRDefault="000651AA">
            <w:r>
              <w:rPr>
                <w:sz w:val="20"/>
              </w:rPr>
              <w:lastRenderedPageBreak/>
              <w:t>Diversidade, equidade e inclusão</w:t>
            </w:r>
          </w:p>
        </w:tc>
        <w:tc>
          <w:tcPr>
            <w:tcW w:w="1814" w:type="dxa"/>
          </w:tcPr>
          <w:p w14:paraId="02F1277C" w14:textId="77777777" w:rsidR="00643609" w:rsidRDefault="000651AA">
            <w:r>
              <w:rPr>
                <w:sz w:val="20"/>
              </w:rPr>
              <w:t>Políticas e práticas de diversidade e equidade</w:t>
            </w:r>
          </w:p>
        </w:tc>
        <w:tc>
          <w:tcPr>
            <w:tcW w:w="1814" w:type="dxa"/>
          </w:tcPr>
          <w:p w14:paraId="7884656F" w14:textId="77777777" w:rsidR="00643609" w:rsidRDefault="000651AA">
            <w:r>
              <w:rPr>
                <w:sz w:val="20"/>
              </w:rPr>
              <w:t>✔</w:t>
            </w:r>
          </w:p>
        </w:tc>
        <w:tc>
          <w:tcPr>
            <w:tcW w:w="1814" w:type="dxa"/>
          </w:tcPr>
          <w:p w14:paraId="0A3445AC" w14:textId="77777777" w:rsidR="00643609" w:rsidRDefault="000651AA">
            <w:r>
              <w:rPr>
                <w:sz w:val="20"/>
              </w:rPr>
              <w:t>✔</w:t>
            </w:r>
          </w:p>
        </w:tc>
        <w:tc>
          <w:tcPr>
            <w:tcW w:w="1814" w:type="dxa"/>
          </w:tcPr>
          <w:p w14:paraId="126182B9" w14:textId="77777777" w:rsidR="00643609" w:rsidRDefault="000651AA">
            <w:r>
              <w:rPr>
                <w:sz w:val="20"/>
              </w:rPr>
              <w:t>✔</w:t>
            </w:r>
          </w:p>
        </w:tc>
      </w:tr>
      <w:tr w:rsidR="00643609" w14:paraId="1616300C" w14:textId="77777777">
        <w:trPr>
          <w:cantSplit/>
          <w:jc w:val="center"/>
        </w:trPr>
        <w:tc>
          <w:tcPr>
            <w:tcW w:w="1814" w:type="dxa"/>
          </w:tcPr>
          <w:p w14:paraId="614AC60C" w14:textId="77777777" w:rsidR="00643609" w:rsidRDefault="00643609"/>
        </w:tc>
        <w:tc>
          <w:tcPr>
            <w:tcW w:w="1814" w:type="dxa"/>
          </w:tcPr>
          <w:p w14:paraId="0C9CAC1B" w14:textId="77777777" w:rsidR="00643609" w:rsidRDefault="000651AA">
            <w:r>
              <w:rPr>
                <w:sz w:val="20"/>
              </w:rPr>
              <w:t>Cultura e promoção de inclusão</w:t>
            </w:r>
          </w:p>
        </w:tc>
        <w:tc>
          <w:tcPr>
            <w:tcW w:w="1814" w:type="dxa"/>
          </w:tcPr>
          <w:p w14:paraId="718330F1" w14:textId="77777777" w:rsidR="00643609" w:rsidRDefault="000651AA">
            <w:r>
              <w:rPr>
                <w:sz w:val="20"/>
              </w:rPr>
              <w:t>✔</w:t>
            </w:r>
          </w:p>
        </w:tc>
        <w:tc>
          <w:tcPr>
            <w:tcW w:w="1814" w:type="dxa"/>
          </w:tcPr>
          <w:p w14:paraId="50F9830A" w14:textId="77777777" w:rsidR="00643609" w:rsidRDefault="000651AA">
            <w:r>
              <w:rPr>
                <w:sz w:val="20"/>
              </w:rPr>
              <w:t>✔</w:t>
            </w:r>
          </w:p>
        </w:tc>
        <w:tc>
          <w:tcPr>
            <w:tcW w:w="1814" w:type="dxa"/>
          </w:tcPr>
          <w:p w14:paraId="0F24E948" w14:textId="77777777" w:rsidR="00643609" w:rsidRDefault="000651AA">
            <w:r>
              <w:rPr>
                <w:sz w:val="20"/>
              </w:rPr>
              <w:t>✔</w:t>
            </w:r>
          </w:p>
        </w:tc>
      </w:tr>
      <w:tr w:rsidR="00643609" w14:paraId="75CC7136" w14:textId="77777777">
        <w:trPr>
          <w:cantSplit/>
          <w:jc w:val="center"/>
        </w:trPr>
        <w:tc>
          <w:tcPr>
            <w:tcW w:w="1814" w:type="dxa"/>
          </w:tcPr>
          <w:p w14:paraId="6C3DFB5F" w14:textId="77777777" w:rsidR="00643609" w:rsidRDefault="000651AA">
            <w:r>
              <w:rPr>
                <w:sz w:val="20"/>
              </w:rPr>
              <w:t>Cultura e promoção de inclusão</w:t>
            </w:r>
          </w:p>
        </w:tc>
        <w:tc>
          <w:tcPr>
            <w:tcW w:w="1814" w:type="dxa"/>
          </w:tcPr>
          <w:p w14:paraId="20E16280" w14:textId="77777777" w:rsidR="00643609" w:rsidRDefault="000651AA">
            <w:r>
              <w:rPr>
                <w:sz w:val="20"/>
              </w:rPr>
              <w:t>Desenvolvimento profissional</w:t>
            </w:r>
          </w:p>
        </w:tc>
        <w:tc>
          <w:tcPr>
            <w:tcW w:w="1814" w:type="dxa"/>
          </w:tcPr>
          <w:p w14:paraId="018C8D10" w14:textId="77777777" w:rsidR="00643609" w:rsidRDefault="000651AA">
            <w:r>
              <w:rPr>
                <w:sz w:val="20"/>
              </w:rPr>
              <w:t>✔</w:t>
            </w:r>
          </w:p>
        </w:tc>
        <w:tc>
          <w:tcPr>
            <w:tcW w:w="1814" w:type="dxa"/>
          </w:tcPr>
          <w:p w14:paraId="080C5A02" w14:textId="77777777" w:rsidR="00643609" w:rsidRDefault="000651AA">
            <w:r>
              <w:rPr>
                <w:sz w:val="20"/>
              </w:rPr>
              <w:t>✔</w:t>
            </w:r>
          </w:p>
        </w:tc>
        <w:tc>
          <w:tcPr>
            <w:tcW w:w="1814" w:type="dxa"/>
          </w:tcPr>
          <w:p w14:paraId="5CE5C53C" w14:textId="77777777" w:rsidR="00643609" w:rsidRDefault="000651AA">
            <w:r>
              <w:rPr>
                <w:sz w:val="20"/>
              </w:rPr>
              <w:t>✔</w:t>
            </w:r>
          </w:p>
        </w:tc>
      </w:tr>
      <w:tr w:rsidR="00643609" w14:paraId="78532F21" w14:textId="77777777">
        <w:trPr>
          <w:cantSplit/>
          <w:jc w:val="center"/>
        </w:trPr>
        <w:tc>
          <w:tcPr>
            <w:tcW w:w="1814" w:type="dxa"/>
          </w:tcPr>
          <w:p w14:paraId="3F20280B" w14:textId="77777777" w:rsidR="00643609" w:rsidRDefault="00643609"/>
        </w:tc>
        <w:tc>
          <w:tcPr>
            <w:tcW w:w="1814" w:type="dxa"/>
          </w:tcPr>
          <w:p w14:paraId="4FACF88D" w14:textId="77777777" w:rsidR="00643609" w:rsidRDefault="000651AA">
            <w:r>
              <w:rPr>
                <w:sz w:val="20"/>
              </w:rPr>
              <w:t>Saúde e segurança ocupacional</w:t>
            </w:r>
          </w:p>
        </w:tc>
        <w:tc>
          <w:tcPr>
            <w:tcW w:w="1814" w:type="dxa"/>
          </w:tcPr>
          <w:p w14:paraId="39C808CC" w14:textId="77777777" w:rsidR="00643609" w:rsidRDefault="000651AA">
            <w:r>
              <w:rPr>
                <w:sz w:val="20"/>
              </w:rPr>
              <w:t>✔</w:t>
            </w:r>
          </w:p>
        </w:tc>
        <w:tc>
          <w:tcPr>
            <w:tcW w:w="1814" w:type="dxa"/>
          </w:tcPr>
          <w:p w14:paraId="4A065034" w14:textId="77777777" w:rsidR="00643609" w:rsidRDefault="000651AA">
            <w:r>
              <w:rPr>
                <w:sz w:val="20"/>
              </w:rPr>
              <w:t>✔</w:t>
            </w:r>
          </w:p>
        </w:tc>
        <w:tc>
          <w:tcPr>
            <w:tcW w:w="1814" w:type="dxa"/>
          </w:tcPr>
          <w:p w14:paraId="6F3FA96A" w14:textId="77777777" w:rsidR="00643609" w:rsidRDefault="000651AA">
            <w:r>
              <w:rPr>
                <w:sz w:val="20"/>
              </w:rPr>
              <w:t>✔</w:t>
            </w:r>
          </w:p>
        </w:tc>
      </w:tr>
      <w:tr w:rsidR="00643609" w14:paraId="7C37D0A1" w14:textId="77777777">
        <w:trPr>
          <w:cantSplit/>
          <w:jc w:val="center"/>
        </w:trPr>
        <w:tc>
          <w:tcPr>
            <w:tcW w:w="1814" w:type="dxa"/>
          </w:tcPr>
          <w:p w14:paraId="2A440D49" w14:textId="77777777" w:rsidR="00643609" w:rsidRDefault="00643609"/>
        </w:tc>
        <w:tc>
          <w:tcPr>
            <w:tcW w:w="1814" w:type="dxa"/>
          </w:tcPr>
          <w:p w14:paraId="0FBE6C95" w14:textId="77777777" w:rsidR="00643609" w:rsidRDefault="000651AA">
            <w:r>
              <w:rPr>
                <w:sz w:val="20"/>
              </w:rPr>
              <w:t>Qualidade de vida</w:t>
            </w:r>
          </w:p>
        </w:tc>
        <w:tc>
          <w:tcPr>
            <w:tcW w:w="1814" w:type="dxa"/>
          </w:tcPr>
          <w:p w14:paraId="17585969" w14:textId="77777777" w:rsidR="00643609" w:rsidRDefault="000651AA">
            <w:r>
              <w:rPr>
                <w:sz w:val="20"/>
              </w:rPr>
              <w:t>✔</w:t>
            </w:r>
          </w:p>
        </w:tc>
        <w:tc>
          <w:tcPr>
            <w:tcW w:w="1814" w:type="dxa"/>
          </w:tcPr>
          <w:p w14:paraId="336ADD59" w14:textId="77777777" w:rsidR="00643609" w:rsidRDefault="000651AA">
            <w:r>
              <w:rPr>
                <w:sz w:val="20"/>
              </w:rPr>
              <w:t>✔</w:t>
            </w:r>
          </w:p>
        </w:tc>
        <w:tc>
          <w:tcPr>
            <w:tcW w:w="1814" w:type="dxa"/>
          </w:tcPr>
          <w:p w14:paraId="25BA6EC2" w14:textId="77777777" w:rsidR="00643609" w:rsidRDefault="000651AA">
            <w:r>
              <w:rPr>
                <w:sz w:val="20"/>
              </w:rPr>
              <w:t>✔</w:t>
            </w:r>
          </w:p>
        </w:tc>
      </w:tr>
      <w:tr w:rsidR="00643609" w14:paraId="6B5F7C71" w14:textId="77777777">
        <w:trPr>
          <w:cantSplit/>
          <w:jc w:val="center"/>
        </w:trPr>
        <w:tc>
          <w:tcPr>
            <w:tcW w:w="1814" w:type="dxa"/>
          </w:tcPr>
          <w:p w14:paraId="044BAD9F" w14:textId="77777777" w:rsidR="00643609" w:rsidRDefault="00643609"/>
        </w:tc>
        <w:tc>
          <w:tcPr>
            <w:tcW w:w="1814" w:type="dxa"/>
          </w:tcPr>
          <w:p w14:paraId="66506D6C" w14:textId="77777777" w:rsidR="00643609" w:rsidRDefault="000651AA">
            <w:r>
              <w:rPr>
                <w:sz w:val="20"/>
              </w:rPr>
              <w:t>Liberdade de associação</w:t>
            </w:r>
          </w:p>
        </w:tc>
        <w:tc>
          <w:tcPr>
            <w:tcW w:w="1814" w:type="dxa"/>
          </w:tcPr>
          <w:p w14:paraId="3682BF12" w14:textId="77777777" w:rsidR="00643609" w:rsidRDefault="000651AA">
            <w:r>
              <w:rPr>
                <w:sz w:val="20"/>
              </w:rPr>
              <w:t>✔</w:t>
            </w:r>
          </w:p>
        </w:tc>
        <w:tc>
          <w:tcPr>
            <w:tcW w:w="1814" w:type="dxa"/>
          </w:tcPr>
          <w:p w14:paraId="50E8F286" w14:textId="77777777" w:rsidR="00643609" w:rsidRDefault="000651AA">
            <w:r>
              <w:rPr>
                <w:sz w:val="20"/>
              </w:rPr>
              <w:t>🗶</w:t>
            </w:r>
          </w:p>
        </w:tc>
        <w:tc>
          <w:tcPr>
            <w:tcW w:w="1814" w:type="dxa"/>
          </w:tcPr>
          <w:p w14:paraId="13ACE87B" w14:textId="77777777" w:rsidR="00643609" w:rsidRDefault="000651AA">
            <w:r>
              <w:rPr>
                <w:sz w:val="20"/>
              </w:rPr>
              <w:t>🗶</w:t>
            </w:r>
          </w:p>
        </w:tc>
      </w:tr>
      <w:tr w:rsidR="00643609" w14:paraId="5EBB8AAC" w14:textId="77777777">
        <w:trPr>
          <w:cantSplit/>
          <w:jc w:val="center"/>
        </w:trPr>
        <w:tc>
          <w:tcPr>
            <w:tcW w:w="1814" w:type="dxa"/>
          </w:tcPr>
          <w:p w14:paraId="4935D903" w14:textId="77777777" w:rsidR="00643609" w:rsidRDefault="00643609"/>
        </w:tc>
        <w:tc>
          <w:tcPr>
            <w:tcW w:w="1814" w:type="dxa"/>
          </w:tcPr>
          <w:p w14:paraId="31D3198A" w14:textId="77777777" w:rsidR="00643609" w:rsidRDefault="000651AA">
            <w:r>
              <w:rPr>
                <w:sz w:val="20"/>
              </w:rPr>
              <w:t>Política de remuneração e benefícios</w:t>
            </w:r>
          </w:p>
        </w:tc>
        <w:tc>
          <w:tcPr>
            <w:tcW w:w="1814" w:type="dxa"/>
          </w:tcPr>
          <w:p w14:paraId="0A87879F" w14:textId="77777777" w:rsidR="00643609" w:rsidRDefault="000651AA">
            <w:r>
              <w:rPr>
                <w:sz w:val="20"/>
              </w:rPr>
              <w:t>✔</w:t>
            </w:r>
          </w:p>
        </w:tc>
        <w:tc>
          <w:tcPr>
            <w:tcW w:w="1814" w:type="dxa"/>
          </w:tcPr>
          <w:p w14:paraId="0C6A92FD" w14:textId="77777777" w:rsidR="00643609" w:rsidRDefault="000651AA">
            <w:r>
              <w:rPr>
                <w:sz w:val="20"/>
              </w:rPr>
              <w:t>✔</w:t>
            </w:r>
          </w:p>
        </w:tc>
        <w:tc>
          <w:tcPr>
            <w:tcW w:w="1814" w:type="dxa"/>
          </w:tcPr>
          <w:p w14:paraId="6F95BE89" w14:textId="77777777" w:rsidR="00643609" w:rsidRDefault="000651AA">
            <w:r>
              <w:rPr>
                <w:sz w:val="20"/>
              </w:rPr>
              <w:t>✔</w:t>
            </w:r>
          </w:p>
        </w:tc>
      </w:tr>
      <w:tr w:rsidR="00643609" w14:paraId="1EB071AD" w14:textId="77777777">
        <w:trPr>
          <w:cantSplit/>
          <w:jc w:val="center"/>
        </w:trPr>
        <w:tc>
          <w:tcPr>
            <w:tcW w:w="1814" w:type="dxa"/>
          </w:tcPr>
          <w:p w14:paraId="5BC3E0E5" w14:textId="77777777" w:rsidR="00643609" w:rsidRDefault="000651AA">
            <w:r>
              <w:rPr>
                <w:sz w:val="20"/>
              </w:rPr>
              <w:t>Promoção de responsabilidade social na cadeia de valor</w:t>
            </w:r>
          </w:p>
        </w:tc>
        <w:tc>
          <w:tcPr>
            <w:tcW w:w="1814" w:type="dxa"/>
          </w:tcPr>
          <w:p w14:paraId="04978710" w14:textId="77777777" w:rsidR="00643609" w:rsidRDefault="000651AA">
            <w:r>
              <w:rPr>
                <w:sz w:val="20"/>
              </w:rPr>
              <w:t>Relacionamento com consumidores e clientes</w:t>
            </w:r>
          </w:p>
        </w:tc>
        <w:tc>
          <w:tcPr>
            <w:tcW w:w="1814" w:type="dxa"/>
          </w:tcPr>
          <w:p w14:paraId="44252A6F" w14:textId="77777777" w:rsidR="00643609" w:rsidRDefault="000651AA">
            <w:r>
              <w:rPr>
                <w:sz w:val="20"/>
              </w:rPr>
              <w:t>✔</w:t>
            </w:r>
          </w:p>
        </w:tc>
        <w:tc>
          <w:tcPr>
            <w:tcW w:w="1814" w:type="dxa"/>
          </w:tcPr>
          <w:p w14:paraId="60D9B1F3" w14:textId="77777777" w:rsidR="00643609" w:rsidRDefault="000651AA">
            <w:r>
              <w:rPr>
                <w:sz w:val="20"/>
              </w:rPr>
              <w:t>✔</w:t>
            </w:r>
          </w:p>
        </w:tc>
        <w:tc>
          <w:tcPr>
            <w:tcW w:w="1814" w:type="dxa"/>
          </w:tcPr>
          <w:p w14:paraId="1A8C9803" w14:textId="77777777" w:rsidR="00643609" w:rsidRDefault="000651AA">
            <w:r>
              <w:rPr>
                <w:sz w:val="20"/>
              </w:rPr>
              <w:t>✔</w:t>
            </w:r>
          </w:p>
        </w:tc>
      </w:tr>
      <w:tr w:rsidR="00643609" w14:paraId="3EE27BDE" w14:textId="77777777">
        <w:trPr>
          <w:cantSplit/>
          <w:jc w:val="center"/>
        </w:trPr>
        <w:tc>
          <w:tcPr>
            <w:tcW w:w="1814" w:type="dxa"/>
          </w:tcPr>
          <w:p w14:paraId="7205B15E" w14:textId="77777777" w:rsidR="00643609" w:rsidRDefault="00643609"/>
        </w:tc>
        <w:tc>
          <w:tcPr>
            <w:tcW w:w="1814" w:type="dxa"/>
          </w:tcPr>
          <w:p w14:paraId="5F7253D7" w14:textId="77777777" w:rsidR="00643609" w:rsidRDefault="000651AA">
            <w:r>
              <w:rPr>
                <w:sz w:val="20"/>
              </w:rPr>
              <w:t>Relacionamento com os fornecedores</w:t>
            </w:r>
          </w:p>
        </w:tc>
        <w:tc>
          <w:tcPr>
            <w:tcW w:w="1814" w:type="dxa"/>
          </w:tcPr>
          <w:p w14:paraId="40074023" w14:textId="77777777" w:rsidR="00643609" w:rsidRDefault="000651AA">
            <w:r>
              <w:rPr>
                <w:sz w:val="20"/>
              </w:rPr>
              <w:t>✔</w:t>
            </w:r>
          </w:p>
        </w:tc>
        <w:tc>
          <w:tcPr>
            <w:tcW w:w="1814" w:type="dxa"/>
          </w:tcPr>
          <w:p w14:paraId="7134612B" w14:textId="77777777" w:rsidR="00643609" w:rsidRDefault="000651AA">
            <w:r>
              <w:rPr>
                <w:sz w:val="20"/>
              </w:rPr>
              <w:t>✔</w:t>
            </w:r>
          </w:p>
        </w:tc>
        <w:tc>
          <w:tcPr>
            <w:tcW w:w="1814" w:type="dxa"/>
          </w:tcPr>
          <w:p w14:paraId="0180A264" w14:textId="77777777" w:rsidR="00643609" w:rsidRDefault="000651AA">
            <w:r>
              <w:rPr>
                <w:sz w:val="20"/>
              </w:rPr>
              <w:t>✔</w:t>
            </w:r>
          </w:p>
        </w:tc>
      </w:tr>
    </w:tbl>
    <w:p w14:paraId="11B6CD91" w14:textId="77777777" w:rsidR="00643609" w:rsidRDefault="00643609">
      <w:pPr>
        <w:spacing w:after="0" w:line="240" w:lineRule="auto"/>
      </w:pPr>
    </w:p>
    <w:p w14:paraId="2CF8F16B" w14:textId="77777777" w:rsidR="00643609" w:rsidRDefault="000651AA">
      <w:pPr>
        <w:keepLines/>
        <w:spacing w:after="240" w:line="240" w:lineRule="auto"/>
      </w:pPr>
      <w:r>
        <w:rPr>
          <w:sz w:val="20"/>
        </w:rPr>
        <w:t>Fonte: Adaptado de ABNT PR 2030 (2022)</w:t>
      </w:r>
    </w:p>
    <w:p w14:paraId="6552631F" w14:textId="77777777" w:rsidR="00643609" w:rsidRDefault="000651AA">
      <w:pPr>
        <w:spacing w:after="0" w:line="360" w:lineRule="auto"/>
        <w:ind w:firstLine="709"/>
        <w:jc w:val="both"/>
      </w:pPr>
      <w:r>
        <w:t>No âmbito do diálogo social e desenvolvimento territorial, observam-se iniciativas direcionadas ao investimento social privado, ao apoio a comunidades em situação de vulnerab</w:t>
      </w:r>
      <w:r>
        <w:t>ilidade, por meio de programas voltados à capacitação profissional, geração de renda e fortalecimento de organizações sociais.</w:t>
      </w:r>
    </w:p>
    <w:p w14:paraId="24B18085" w14:textId="77777777" w:rsidR="00643609" w:rsidRDefault="000651AA">
      <w:pPr>
        <w:spacing w:after="0" w:line="360" w:lineRule="auto"/>
        <w:ind w:firstLine="709"/>
        <w:jc w:val="both"/>
      </w:pPr>
      <w:r>
        <w:t>Em relação aos direitos humanos, as empresas apresentam políticas institucionais e códigos de ética que orientam suas práticas or</w:t>
      </w:r>
      <w:r>
        <w:t>ganizacionais, além de mecanismos de monitoramento e auditorias socioambientais na cadeia de fornecimento, com o objetivo de prevenir violações como trabalho infantil, trabalho forçado ou condições inadequadas de trabalho. No que se refere à diversidade, e</w:t>
      </w:r>
      <w:r>
        <w:t>quidade e inclusão, as organizações analisadas demonstram avanços na implementação de programas e políticas voltadas à ampliação da representatividade de diferentes grupos sociais, bem como na promoção de ambientes de trabalho mais inclusivos e equitativos</w:t>
      </w:r>
      <w:r>
        <w:t>.</w:t>
      </w:r>
    </w:p>
    <w:p w14:paraId="489C2324" w14:textId="77777777" w:rsidR="00643609" w:rsidRDefault="000651AA">
      <w:pPr>
        <w:spacing w:after="0" w:line="360" w:lineRule="auto"/>
        <w:ind w:firstLine="709"/>
        <w:jc w:val="both"/>
      </w:pPr>
      <w:r>
        <w:t xml:space="preserve">Essas iniciativas são acompanhadas por ações voltadas ao desenvolvimento profissional e à valorização dos colaboradores, incluindo programas de capacitação, </w:t>
      </w:r>
      <w:r>
        <w:lastRenderedPageBreak/>
        <w:t>formação de lideranças e estratégias de gestão de talentos. No eixo de cultura organizacional e p</w:t>
      </w:r>
      <w:r>
        <w:t>romoção da inclusão, destacam-se investimentos em educação corporativa, programas de bem-estar, saúde e segurança ocupacional, além de políticas de remuneração e benefícios que buscam assegurar condições de trabalho adequadas.</w:t>
      </w:r>
    </w:p>
    <w:p w14:paraId="28FCF818" w14:textId="77777777" w:rsidR="00643609" w:rsidRDefault="000651AA">
      <w:pPr>
        <w:spacing w:after="0" w:line="360" w:lineRule="auto"/>
        <w:ind w:firstLine="709"/>
        <w:jc w:val="both"/>
      </w:pPr>
      <w:r>
        <w:t>Por fim, no critério de promo</w:t>
      </w:r>
      <w:r>
        <w:t>ção da responsabilidade social na cadeia de valor, as empresas apresentam iniciativas voltadas ao fortalecimento do relacionamento com consumidores e fornecedores, por meio de mecanismos de monitoramento da satisfação dos clientes, investimentos em soluçõe</w:t>
      </w:r>
      <w:r>
        <w:t>s digitais e práticas de gestão responsável da cadeia de suprimentos. Já o eixo da governança corporativa compreende o conjunto de princípios e práticas adotados pelas empresas para garantir transparência, ética e integridade na condução dos negócios. O ei</w:t>
      </w:r>
      <w:r>
        <w:t>xo exposto do Quadro 4, permite observar como as organizações estruturam seus processos decisórios fortalecendo a confiança dos stakeholders.</w:t>
      </w:r>
    </w:p>
    <w:tbl>
      <w:tblPr>
        <w:tblStyle w:val="Tabelacomgrade"/>
        <w:tblW w:w="0" w:type="auto"/>
        <w:jc w:val="center"/>
        <w:tblLayout w:type="fixed"/>
        <w:tblLook w:val="04A0" w:firstRow="1" w:lastRow="0" w:firstColumn="1" w:lastColumn="0" w:noHBand="0" w:noVBand="1"/>
      </w:tblPr>
      <w:tblGrid>
        <w:gridCol w:w="1814"/>
        <w:gridCol w:w="1814"/>
        <w:gridCol w:w="1814"/>
        <w:gridCol w:w="1814"/>
        <w:gridCol w:w="1814"/>
      </w:tblGrid>
      <w:tr w:rsidR="00643609" w14:paraId="554F2037" w14:textId="77777777">
        <w:trPr>
          <w:cantSplit/>
          <w:tblHeader/>
          <w:jc w:val="center"/>
        </w:trPr>
        <w:tc>
          <w:tcPr>
            <w:tcW w:w="9070" w:type="dxa"/>
            <w:gridSpan w:val="5"/>
            <w:tcBorders>
              <w:top w:val="nil"/>
              <w:left w:val="nil"/>
              <w:bottom w:val="nil"/>
              <w:right w:val="nil"/>
            </w:tcBorders>
          </w:tcPr>
          <w:p w14:paraId="0BC6664C" w14:textId="77777777" w:rsidR="00643609" w:rsidRDefault="000651AA">
            <w:pPr>
              <w:keepNext/>
              <w:keepLines/>
              <w:spacing w:after="120"/>
            </w:pPr>
            <w:r>
              <w:rPr>
                <w:sz w:val="20"/>
              </w:rPr>
              <w:t>Quadro 4 - Eixo governança</w:t>
            </w:r>
          </w:p>
        </w:tc>
      </w:tr>
      <w:tr w:rsidR="00643609" w14:paraId="5AD8BD5A" w14:textId="77777777">
        <w:trPr>
          <w:cantSplit/>
          <w:tblHeader/>
          <w:jc w:val="center"/>
        </w:trPr>
        <w:tc>
          <w:tcPr>
            <w:tcW w:w="1814" w:type="dxa"/>
            <w:shd w:val="clear" w:color="auto" w:fill="E7E6E6"/>
          </w:tcPr>
          <w:p w14:paraId="5793B712" w14:textId="77777777" w:rsidR="00643609" w:rsidRDefault="000651AA">
            <w:pPr>
              <w:keepNext/>
            </w:pPr>
            <w:r>
              <w:rPr>
                <w:b/>
                <w:sz w:val="20"/>
              </w:rPr>
              <w:t>Eixo Governança</w:t>
            </w:r>
          </w:p>
        </w:tc>
        <w:tc>
          <w:tcPr>
            <w:tcW w:w="1814" w:type="dxa"/>
            <w:shd w:val="clear" w:color="auto" w:fill="E7E6E6"/>
          </w:tcPr>
          <w:p w14:paraId="58E30641" w14:textId="77777777" w:rsidR="00643609" w:rsidRDefault="00643609">
            <w:pPr>
              <w:keepNext/>
            </w:pPr>
          </w:p>
        </w:tc>
        <w:tc>
          <w:tcPr>
            <w:tcW w:w="1814" w:type="dxa"/>
            <w:shd w:val="clear" w:color="auto" w:fill="E7E6E6"/>
          </w:tcPr>
          <w:p w14:paraId="1873C7DA" w14:textId="77777777" w:rsidR="00643609" w:rsidRDefault="00643609">
            <w:pPr>
              <w:keepNext/>
            </w:pPr>
          </w:p>
        </w:tc>
        <w:tc>
          <w:tcPr>
            <w:tcW w:w="1814" w:type="dxa"/>
            <w:shd w:val="clear" w:color="auto" w:fill="E7E6E6"/>
          </w:tcPr>
          <w:p w14:paraId="2CC6C0AD" w14:textId="77777777" w:rsidR="00643609" w:rsidRDefault="00643609">
            <w:pPr>
              <w:keepNext/>
            </w:pPr>
          </w:p>
        </w:tc>
        <w:tc>
          <w:tcPr>
            <w:tcW w:w="1814" w:type="dxa"/>
            <w:shd w:val="clear" w:color="auto" w:fill="E7E6E6"/>
          </w:tcPr>
          <w:p w14:paraId="5FDA7574" w14:textId="77777777" w:rsidR="00643609" w:rsidRDefault="00643609">
            <w:pPr>
              <w:keepNext/>
            </w:pPr>
          </w:p>
        </w:tc>
      </w:tr>
      <w:tr w:rsidR="00643609" w14:paraId="3E582D88" w14:textId="77777777">
        <w:trPr>
          <w:cantSplit/>
          <w:jc w:val="center"/>
        </w:trPr>
        <w:tc>
          <w:tcPr>
            <w:tcW w:w="1814" w:type="dxa"/>
          </w:tcPr>
          <w:p w14:paraId="47E51A35" w14:textId="77777777" w:rsidR="00643609" w:rsidRDefault="000651AA">
            <w:r>
              <w:rPr>
                <w:sz w:val="20"/>
              </w:rPr>
              <w:t>Tema</w:t>
            </w:r>
          </w:p>
        </w:tc>
        <w:tc>
          <w:tcPr>
            <w:tcW w:w="1814" w:type="dxa"/>
          </w:tcPr>
          <w:p w14:paraId="3B2B4E67" w14:textId="77777777" w:rsidR="00643609" w:rsidRDefault="000651AA">
            <w:r>
              <w:rPr>
                <w:sz w:val="20"/>
              </w:rPr>
              <w:t>Critério</w:t>
            </w:r>
          </w:p>
        </w:tc>
        <w:tc>
          <w:tcPr>
            <w:tcW w:w="1814" w:type="dxa"/>
          </w:tcPr>
          <w:p w14:paraId="076B9585" w14:textId="77777777" w:rsidR="00643609" w:rsidRDefault="000651AA">
            <w:r>
              <w:rPr>
                <w:sz w:val="20"/>
              </w:rPr>
              <w:t>Renne r</w:t>
            </w:r>
          </w:p>
        </w:tc>
        <w:tc>
          <w:tcPr>
            <w:tcW w:w="1814" w:type="dxa"/>
          </w:tcPr>
          <w:p w14:paraId="4553C976" w14:textId="77777777" w:rsidR="00643609" w:rsidRDefault="000651AA">
            <w:r>
              <w:rPr>
                <w:sz w:val="20"/>
              </w:rPr>
              <w:t>C&amp;A</w:t>
            </w:r>
          </w:p>
        </w:tc>
        <w:tc>
          <w:tcPr>
            <w:tcW w:w="1814" w:type="dxa"/>
          </w:tcPr>
          <w:p w14:paraId="3A648BE9" w14:textId="77777777" w:rsidR="00643609" w:rsidRDefault="000651AA">
            <w:r>
              <w:rPr>
                <w:sz w:val="20"/>
              </w:rPr>
              <w:t>Riachuel o</w:t>
            </w:r>
          </w:p>
        </w:tc>
      </w:tr>
      <w:tr w:rsidR="00643609" w14:paraId="7D64EA64" w14:textId="77777777">
        <w:trPr>
          <w:cantSplit/>
          <w:jc w:val="center"/>
        </w:trPr>
        <w:tc>
          <w:tcPr>
            <w:tcW w:w="1814" w:type="dxa"/>
          </w:tcPr>
          <w:p w14:paraId="57D7839C" w14:textId="77777777" w:rsidR="00643609" w:rsidRDefault="000651AA">
            <w:r>
              <w:rPr>
                <w:sz w:val="20"/>
              </w:rPr>
              <w:t xml:space="preserve">Governança </w:t>
            </w:r>
            <w:r>
              <w:rPr>
                <w:sz w:val="20"/>
              </w:rPr>
              <w:t>corporativa</w:t>
            </w:r>
          </w:p>
        </w:tc>
        <w:tc>
          <w:tcPr>
            <w:tcW w:w="1814" w:type="dxa"/>
          </w:tcPr>
          <w:p w14:paraId="01E0E346" w14:textId="77777777" w:rsidR="00643609" w:rsidRDefault="000651AA">
            <w:r>
              <w:rPr>
                <w:sz w:val="20"/>
              </w:rPr>
              <w:t>Estrutura e composição da governança corporativa</w:t>
            </w:r>
          </w:p>
        </w:tc>
        <w:tc>
          <w:tcPr>
            <w:tcW w:w="1814" w:type="dxa"/>
          </w:tcPr>
          <w:p w14:paraId="2B7BA19D" w14:textId="77777777" w:rsidR="00643609" w:rsidRDefault="000651AA">
            <w:r>
              <w:rPr>
                <w:sz w:val="20"/>
              </w:rPr>
              <w:t>✔</w:t>
            </w:r>
          </w:p>
        </w:tc>
        <w:tc>
          <w:tcPr>
            <w:tcW w:w="1814" w:type="dxa"/>
          </w:tcPr>
          <w:p w14:paraId="40F3CBD2" w14:textId="77777777" w:rsidR="00643609" w:rsidRDefault="000651AA">
            <w:r>
              <w:rPr>
                <w:sz w:val="20"/>
              </w:rPr>
              <w:t>✔</w:t>
            </w:r>
          </w:p>
        </w:tc>
        <w:tc>
          <w:tcPr>
            <w:tcW w:w="1814" w:type="dxa"/>
          </w:tcPr>
          <w:p w14:paraId="63DF0237" w14:textId="77777777" w:rsidR="00643609" w:rsidRDefault="000651AA">
            <w:r>
              <w:rPr>
                <w:sz w:val="20"/>
              </w:rPr>
              <w:t>✔</w:t>
            </w:r>
          </w:p>
        </w:tc>
      </w:tr>
      <w:tr w:rsidR="00643609" w14:paraId="6F180727" w14:textId="77777777">
        <w:trPr>
          <w:cantSplit/>
          <w:jc w:val="center"/>
        </w:trPr>
        <w:tc>
          <w:tcPr>
            <w:tcW w:w="1814" w:type="dxa"/>
          </w:tcPr>
          <w:p w14:paraId="23810C8B" w14:textId="77777777" w:rsidR="00643609" w:rsidRDefault="00643609"/>
        </w:tc>
        <w:tc>
          <w:tcPr>
            <w:tcW w:w="1814" w:type="dxa"/>
          </w:tcPr>
          <w:p w14:paraId="28CB010C" w14:textId="77777777" w:rsidR="00643609" w:rsidRDefault="000651AA">
            <w:r>
              <w:rPr>
                <w:sz w:val="20"/>
              </w:rPr>
              <w:t>Propósito e estratégia em relação à sustentabilidade</w:t>
            </w:r>
          </w:p>
        </w:tc>
        <w:tc>
          <w:tcPr>
            <w:tcW w:w="1814" w:type="dxa"/>
          </w:tcPr>
          <w:p w14:paraId="0EF3E6F4" w14:textId="77777777" w:rsidR="00643609" w:rsidRDefault="000651AA">
            <w:r>
              <w:rPr>
                <w:sz w:val="20"/>
              </w:rPr>
              <w:t>✔</w:t>
            </w:r>
          </w:p>
        </w:tc>
        <w:tc>
          <w:tcPr>
            <w:tcW w:w="1814" w:type="dxa"/>
          </w:tcPr>
          <w:p w14:paraId="3DEFDDF5" w14:textId="77777777" w:rsidR="00643609" w:rsidRDefault="000651AA">
            <w:r>
              <w:rPr>
                <w:sz w:val="20"/>
              </w:rPr>
              <w:t>✔</w:t>
            </w:r>
          </w:p>
        </w:tc>
        <w:tc>
          <w:tcPr>
            <w:tcW w:w="1814" w:type="dxa"/>
          </w:tcPr>
          <w:p w14:paraId="3622C623" w14:textId="77777777" w:rsidR="00643609" w:rsidRDefault="000651AA">
            <w:r>
              <w:rPr>
                <w:sz w:val="20"/>
              </w:rPr>
              <w:t>✔</w:t>
            </w:r>
          </w:p>
        </w:tc>
      </w:tr>
      <w:tr w:rsidR="00643609" w14:paraId="002F9C09" w14:textId="77777777">
        <w:trPr>
          <w:cantSplit/>
          <w:jc w:val="center"/>
        </w:trPr>
        <w:tc>
          <w:tcPr>
            <w:tcW w:w="1814" w:type="dxa"/>
          </w:tcPr>
          <w:p w14:paraId="07D7463A" w14:textId="77777777" w:rsidR="00643609" w:rsidRDefault="000651AA">
            <w:r>
              <w:rPr>
                <w:sz w:val="20"/>
              </w:rPr>
              <w:t>Conduta empresarial</w:t>
            </w:r>
          </w:p>
        </w:tc>
        <w:tc>
          <w:tcPr>
            <w:tcW w:w="1814" w:type="dxa"/>
          </w:tcPr>
          <w:p w14:paraId="68ADD7A4" w14:textId="77777777" w:rsidR="00643609" w:rsidRDefault="000651AA">
            <w:r>
              <w:rPr>
                <w:sz w:val="20"/>
              </w:rPr>
              <w:t>Compliance, programa de integridade e práticas anticorrupção</w:t>
            </w:r>
          </w:p>
        </w:tc>
        <w:tc>
          <w:tcPr>
            <w:tcW w:w="1814" w:type="dxa"/>
          </w:tcPr>
          <w:p w14:paraId="70368DBC" w14:textId="77777777" w:rsidR="00643609" w:rsidRDefault="000651AA">
            <w:r>
              <w:rPr>
                <w:sz w:val="20"/>
              </w:rPr>
              <w:t>✔</w:t>
            </w:r>
          </w:p>
        </w:tc>
        <w:tc>
          <w:tcPr>
            <w:tcW w:w="1814" w:type="dxa"/>
          </w:tcPr>
          <w:p w14:paraId="77E8595C" w14:textId="77777777" w:rsidR="00643609" w:rsidRDefault="000651AA">
            <w:r>
              <w:rPr>
                <w:sz w:val="20"/>
              </w:rPr>
              <w:t>✔</w:t>
            </w:r>
          </w:p>
        </w:tc>
        <w:tc>
          <w:tcPr>
            <w:tcW w:w="1814" w:type="dxa"/>
          </w:tcPr>
          <w:p w14:paraId="27B90633" w14:textId="77777777" w:rsidR="00643609" w:rsidRDefault="000651AA">
            <w:r>
              <w:rPr>
                <w:sz w:val="20"/>
              </w:rPr>
              <w:t>✔</w:t>
            </w:r>
          </w:p>
        </w:tc>
      </w:tr>
      <w:tr w:rsidR="00643609" w14:paraId="0AEDC2B0" w14:textId="77777777">
        <w:trPr>
          <w:cantSplit/>
          <w:jc w:val="center"/>
        </w:trPr>
        <w:tc>
          <w:tcPr>
            <w:tcW w:w="1814" w:type="dxa"/>
          </w:tcPr>
          <w:p w14:paraId="3D81C004" w14:textId="77777777" w:rsidR="00643609" w:rsidRDefault="00643609"/>
        </w:tc>
        <w:tc>
          <w:tcPr>
            <w:tcW w:w="1814" w:type="dxa"/>
          </w:tcPr>
          <w:p w14:paraId="35B01C84" w14:textId="77777777" w:rsidR="00643609" w:rsidRDefault="000651AA">
            <w:r>
              <w:rPr>
                <w:sz w:val="20"/>
              </w:rPr>
              <w:t>Práticas de combate à concorrência des</w:t>
            </w:r>
            <w:r>
              <w:rPr>
                <w:sz w:val="20"/>
              </w:rPr>
              <w:t>leal (antitruste)</w:t>
            </w:r>
          </w:p>
        </w:tc>
        <w:tc>
          <w:tcPr>
            <w:tcW w:w="1814" w:type="dxa"/>
          </w:tcPr>
          <w:p w14:paraId="4042CB9F" w14:textId="77777777" w:rsidR="00643609" w:rsidRDefault="000651AA">
            <w:r>
              <w:rPr>
                <w:sz w:val="20"/>
              </w:rPr>
              <w:t>🗶</w:t>
            </w:r>
          </w:p>
        </w:tc>
        <w:tc>
          <w:tcPr>
            <w:tcW w:w="1814" w:type="dxa"/>
          </w:tcPr>
          <w:p w14:paraId="5D8A5A2B" w14:textId="77777777" w:rsidR="00643609" w:rsidRDefault="000651AA">
            <w:r>
              <w:rPr>
                <w:sz w:val="20"/>
              </w:rPr>
              <w:t>🗶</w:t>
            </w:r>
          </w:p>
        </w:tc>
        <w:tc>
          <w:tcPr>
            <w:tcW w:w="1814" w:type="dxa"/>
          </w:tcPr>
          <w:p w14:paraId="1FB2016F" w14:textId="77777777" w:rsidR="00643609" w:rsidRDefault="000651AA">
            <w:r>
              <w:rPr>
                <w:sz w:val="20"/>
              </w:rPr>
              <w:t>🗶</w:t>
            </w:r>
          </w:p>
        </w:tc>
      </w:tr>
      <w:tr w:rsidR="00643609" w14:paraId="0C030EE2" w14:textId="77777777">
        <w:trPr>
          <w:cantSplit/>
          <w:jc w:val="center"/>
        </w:trPr>
        <w:tc>
          <w:tcPr>
            <w:tcW w:w="1814" w:type="dxa"/>
          </w:tcPr>
          <w:p w14:paraId="5E5298BA" w14:textId="77777777" w:rsidR="00643609" w:rsidRDefault="00643609"/>
        </w:tc>
        <w:tc>
          <w:tcPr>
            <w:tcW w:w="1814" w:type="dxa"/>
          </w:tcPr>
          <w:p w14:paraId="21B9F9A7" w14:textId="77777777" w:rsidR="00643609" w:rsidRDefault="000651AA">
            <w:r>
              <w:rPr>
                <w:sz w:val="20"/>
              </w:rPr>
              <w:t>Engajamento das partes interessadas</w:t>
            </w:r>
          </w:p>
        </w:tc>
        <w:tc>
          <w:tcPr>
            <w:tcW w:w="1814" w:type="dxa"/>
          </w:tcPr>
          <w:p w14:paraId="76AB4C96" w14:textId="77777777" w:rsidR="00643609" w:rsidRDefault="000651AA">
            <w:r>
              <w:rPr>
                <w:sz w:val="20"/>
              </w:rPr>
              <w:t>✔</w:t>
            </w:r>
          </w:p>
        </w:tc>
        <w:tc>
          <w:tcPr>
            <w:tcW w:w="1814" w:type="dxa"/>
          </w:tcPr>
          <w:p w14:paraId="24A61D4A" w14:textId="77777777" w:rsidR="00643609" w:rsidRDefault="000651AA">
            <w:r>
              <w:rPr>
                <w:sz w:val="20"/>
              </w:rPr>
              <w:t>✔</w:t>
            </w:r>
          </w:p>
        </w:tc>
        <w:tc>
          <w:tcPr>
            <w:tcW w:w="1814" w:type="dxa"/>
          </w:tcPr>
          <w:p w14:paraId="13BE7108" w14:textId="77777777" w:rsidR="00643609" w:rsidRDefault="000651AA">
            <w:r>
              <w:rPr>
                <w:sz w:val="20"/>
              </w:rPr>
              <w:t>✔</w:t>
            </w:r>
          </w:p>
        </w:tc>
      </w:tr>
      <w:tr w:rsidR="00643609" w14:paraId="3A85E594" w14:textId="77777777">
        <w:trPr>
          <w:cantSplit/>
          <w:jc w:val="center"/>
        </w:trPr>
        <w:tc>
          <w:tcPr>
            <w:tcW w:w="1814" w:type="dxa"/>
          </w:tcPr>
          <w:p w14:paraId="6C5EB8CF" w14:textId="77777777" w:rsidR="00643609" w:rsidRDefault="000651AA">
            <w:r>
              <w:rPr>
                <w:sz w:val="20"/>
              </w:rPr>
              <w:t>Práticas de controle e gestão</w:t>
            </w:r>
          </w:p>
        </w:tc>
        <w:tc>
          <w:tcPr>
            <w:tcW w:w="1814" w:type="dxa"/>
          </w:tcPr>
          <w:p w14:paraId="08E4CCB2" w14:textId="77777777" w:rsidR="00643609" w:rsidRDefault="000651AA">
            <w:r>
              <w:rPr>
                <w:sz w:val="20"/>
              </w:rPr>
              <w:t>Gestão de riscos do negócio</w:t>
            </w:r>
          </w:p>
        </w:tc>
        <w:tc>
          <w:tcPr>
            <w:tcW w:w="1814" w:type="dxa"/>
          </w:tcPr>
          <w:p w14:paraId="4C8D86EE" w14:textId="77777777" w:rsidR="00643609" w:rsidRDefault="000651AA">
            <w:r>
              <w:rPr>
                <w:sz w:val="20"/>
              </w:rPr>
              <w:t>✔</w:t>
            </w:r>
          </w:p>
        </w:tc>
        <w:tc>
          <w:tcPr>
            <w:tcW w:w="1814" w:type="dxa"/>
          </w:tcPr>
          <w:p w14:paraId="6C7E3020" w14:textId="77777777" w:rsidR="00643609" w:rsidRDefault="000651AA">
            <w:r>
              <w:rPr>
                <w:sz w:val="20"/>
              </w:rPr>
              <w:t>✔</w:t>
            </w:r>
          </w:p>
        </w:tc>
        <w:tc>
          <w:tcPr>
            <w:tcW w:w="1814" w:type="dxa"/>
          </w:tcPr>
          <w:p w14:paraId="40092965" w14:textId="77777777" w:rsidR="00643609" w:rsidRDefault="000651AA">
            <w:r>
              <w:rPr>
                <w:sz w:val="20"/>
              </w:rPr>
              <w:t>✔</w:t>
            </w:r>
          </w:p>
        </w:tc>
      </w:tr>
      <w:tr w:rsidR="00643609" w14:paraId="2C2D16DE" w14:textId="77777777">
        <w:trPr>
          <w:cantSplit/>
          <w:jc w:val="center"/>
        </w:trPr>
        <w:tc>
          <w:tcPr>
            <w:tcW w:w="1814" w:type="dxa"/>
          </w:tcPr>
          <w:p w14:paraId="3DC52918" w14:textId="77777777" w:rsidR="00643609" w:rsidRDefault="00643609"/>
        </w:tc>
        <w:tc>
          <w:tcPr>
            <w:tcW w:w="1814" w:type="dxa"/>
          </w:tcPr>
          <w:p w14:paraId="4FC65EC0" w14:textId="77777777" w:rsidR="00643609" w:rsidRDefault="000651AA">
            <w:r>
              <w:rPr>
                <w:sz w:val="20"/>
              </w:rPr>
              <w:t>Controles internos</w:t>
            </w:r>
          </w:p>
        </w:tc>
        <w:tc>
          <w:tcPr>
            <w:tcW w:w="1814" w:type="dxa"/>
          </w:tcPr>
          <w:p w14:paraId="082DCE36" w14:textId="77777777" w:rsidR="00643609" w:rsidRDefault="000651AA">
            <w:r>
              <w:rPr>
                <w:sz w:val="20"/>
              </w:rPr>
              <w:t>✔</w:t>
            </w:r>
          </w:p>
        </w:tc>
        <w:tc>
          <w:tcPr>
            <w:tcW w:w="1814" w:type="dxa"/>
          </w:tcPr>
          <w:p w14:paraId="604C94A7" w14:textId="77777777" w:rsidR="00643609" w:rsidRDefault="000651AA">
            <w:r>
              <w:rPr>
                <w:sz w:val="20"/>
              </w:rPr>
              <w:t>✔</w:t>
            </w:r>
          </w:p>
        </w:tc>
        <w:tc>
          <w:tcPr>
            <w:tcW w:w="1814" w:type="dxa"/>
          </w:tcPr>
          <w:p w14:paraId="74EFBCDB" w14:textId="77777777" w:rsidR="00643609" w:rsidRDefault="000651AA">
            <w:r>
              <w:rPr>
                <w:sz w:val="20"/>
              </w:rPr>
              <w:t>✔</w:t>
            </w:r>
          </w:p>
        </w:tc>
      </w:tr>
      <w:tr w:rsidR="00643609" w14:paraId="0BA994FD" w14:textId="77777777">
        <w:trPr>
          <w:cantSplit/>
          <w:jc w:val="center"/>
        </w:trPr>
        <w:tc>
          <w:tcPr>
            <w:tcW w:w="1814" w:type="dxa"/>
          </w:tcPr>
          <w:p w14:paraId="58D31F7C" w14:textId="77777777" w:rsidR="00643609" w:rsidRDefault="00643609"/>
        </w:tc>
        <w:tc>
          <w:tcPr>
            <w:tcW w:w="1814" w:type="dxa"/>
          </w:tcPr>
          <w:p w14:paraId="366BB3E9" w14:textId="77777777" w:rsidR="00643609" w:rsidRDefault="000651AA">
            <w:r>
              <w:rPr>
                <w:sz w:val="20"/>
              </w:rPr>
              <w:t>Auditorias interna e externa</w:t>
            </w:r>
          </w:p>
        </w:tc>
        <w:tc>
          <w:tcPr>
            <w:tcW w:w="1814" w:type="dxa"/>
          </w:tcPr>
          <w:p w14:paraId="5CE1BFA5" w14:textId="77777777" w:rsidR="00643609" w:rsidRDefault="000651AA">
            <w:r>
              <w:rPr>
                <w:sz w:val="20"/>
              </w:rPr>
              <w:t>✔</w:t>
            </w:r>
          </w:p>
        </w:tc>
        <w:tc>
          <w:tcPr>
            <w:tcW w:w="1814" w:type="dxa"/>
          </w:tcPr>
          <w:p w14:paraId="5B81FA27" w14:textId="77777777" w:rsidR="00643609" w:rsidRDefault="000651AA">
            <w:r>
              <w:rPr>
                <w:sz w:val="20"/>
              </w:rPr>
              <w:t>✔</w:t>
            </w:r>
          </w:p>
        </w:tc>
        <w:tc>
          <w:tcPr>
            <w:tcW w:w="1814" w:type="dxa"/>
          </w:tcPr>
          <w:p w14:paraId="24668283" w14:textId="77777777" w:rsidR="00643609" w:rsidRDefault="000651AA">
            <w:r>
              <w:rPr>
                <w:sz w:val="20"/>
              </w:rPr>
              <w:t>✔</w:t>
            </w:r>
          </w:p>
        </w:tc>
      </w:tr>
      <w:tr w:rsidR="00643609" w14:paraId="6EDC1D2E" w14:textId="77777777">
        <w:trPr>
          <w:cantSplit/>
          <w:jc w:val="center"/>
        </w:trPr>
        <w:tc>
          <w:tcPr>
            <w:tcW w:w="1814" w:type="dxa"/>
          </w:tcPr>
          <w:p w14:paraId="03C566A3" w14:textId="77777777" w:rsidR="00643609" w:rsidRDefault="00643609"/>
        </w:tc>
        <w:tc>
          <w:tcPr>
            <w:tcW w:w="1814" w:type="dxa"/>
          </w:tcPr>
          <w:p w14:paraId="46FF1B95" w14:textId="77777777" w:rsidR="00643609" w:rsidRDefault="000651AA">
            <w:r>
              <w:rPr>
                <w:sz w:val="20"/>
              </w:rPr>
              <w:t>Ambiente legal e regulatório</w:t>
            </w:r>
          </w:p>
        </w:tc>
        <w:tc>
          <w:tcPr>
            <w:tcW w:w="1814" w:type="dxa"/>
          </w:tcPr>
          <w:p w14:paraId="43D20EF3" w14:textId="77777777" w:rsidR="00643609" w:rsidRDefault="000651AA">
            <w:r>
              <w:rPr>
                <w:sz w:val="20"/>
              </w:rPr>
              <w:t>✔</w:t>
            </w:r>
          </w:p>
        </w:tc>
        <w:tc>
          <w:tcPr>
            <w:tcW w:w="1814" w:type="dxa"/>
          </w:tcPr>
          <w:p w14:paraId="6C9468BA" w14:textId="77777777" w:rsidR="00643609" w:rsidRDefault="000651AA">
            <w:r>
              <w:rPr>
                <w:sz w:val="20"/>
              </w:rPr>
              <w:t>✔</w:t>
            </w:r>
          </w:p>
        </w:tc>
        <w:tc>
          <w:tcPr>
            <w:tcW w:w="1814" w:type="dxa"/>
          </w:tcPr>
          <w:p w14:paraId="1482895B" w14:textId="77777777" w:rsidR="00643609" w:rsidRDefault="000651AA">
            <w:r>
              <w:rPr>
                <w:sz w:val="20"/>
              </w:rPr>
              <w:t>✔</w:t>
            </w:r>
          </w:p>
        </w:tc>
      </w:tr>
      <w:tr w:rsidR="00643609" w14:paraId="63A68C05" w14:textId="77777777">
        <w:trPr>
          <w:cantSplit/>
          <w:jc w:val="center"/>
        </w:trPr>
        <w:tc>
          <w:tcPr>
            <w:tcW w:w="1814" w:type="dxa"/>
          </w:tcPr>
          <w:p w14:paraId="0D58659A" w14:textId="77777777" w:rsidR="00643609" w:rsidRDefault="00643609"/>
        </w:tc>
        <w:tc>
          <w:tcPr>
            <w:tcW w:w="1814" w:type="dxa"/>
          </w:tcPr>
          <w:p w14:paraId="133E6A0A" w14:textId="77777777" w:rsidR="00643609" w:rsidRDefault="000651AA">
            <w:r>
              <w:rPr>
                <w:sz w:val="20"/>
              </w:rPr>
              <w:t xml:space="preserve">Gestão da </w:t>
            </w:r>
            <w:r>
              <w:rPr>
                <w:sz w:val="20"/>
              </w:rPr>
              <w:t>segurança da informação</w:t>
            </w:r>
          </w:p>
        </w:tc>
        <w:tc>
          <w:tcPr>
            <w:tcW w:w="1814" w:type="dxa"/>
          </w:tcPr>
          <w:p w14:paraId="5C76B1BC" w14:textId="77777777" w:rsidR="00643609" w:rsidRDefault="000651AA">
            <w:r>
              <w:rPr>
                <w:sz w:val="20"/>
              </w:rPr>
              <w:t>✔</w:t>
            </w:r>
          </w:p>
        </w:tc>
        <w:tc>
          <w:tcPr>
            <w:tcW w:w="1814" w:type="dxa"/>
          </w:tcPr>
          <w:p w14:paraId="508D6AAA" w14:textId="77777777" w:rsidR="00643609" w:rsidRDefault="000651AA">
            <w:r>
              <w:rPr>
                <w:sz w:val="20"/>
              </w:rPr>
              <w:t>✔</w:t>
            </w:r>
          </w:p>
        </w:tc>
        <w:tc>
          <w:tcPr>
            <w:tcW w:w="1814" w:type="dxa"/>
          </w:tcPr>
          <w:p w14:paraId="5C41CEC7" w14:textId="77777777" w:rsidR="00643609" w:rsidRDefault="000651AA">
            <w:r>
              <w:rPr>
                <w:sz w:val="20"/>
              </w:rPr>
              <w:t>✔</w:t>
            </w:r>
          </w:p>
        </w:tc>
      </w:tr>
      <w:tr w:rsidR="00643609" w14:paraId="5B3151D3" w14:textId="77777777">
        <w:trPr>
          <w:cantSplit/>
          <w:jc w:val="center"/>
        </w:trPr>
        <w:tc>
          <w:tcPr>
            <w:tcW w:w="1814" w:type="dxa"/>
          </w:tcPr>
          <w:p w14:paraId="075692F5" w14:textId="77777777" w:rsidR="00643609" w:rsidRDefault="00643609"/>
        </w:tc>
        <w:tc>
          <w:tcPr>
            <w:tcW w:w="1814" w:type="dxa"/>
          </w:tcPr>
          <w:p w14:paraId="1F506D24" w14:textId="77777777" w:rsidR="00643609" w:rsidRDefault="000651AA">
            <w:r>
              <w:rPr>
                <w:sz w:val="20"/>
              </w:rPr>
              <w:t>Privacidade de dados pessoais</w:t>
            </w:r>
          </w:p>
        </w:tc>
        <w:tc>
          <w:tcPr>
            <w:tcW w:w="1814" w:type="dxa"/>
          </w:tcPr>
          <w:p w14:paraId="6B77B107" w14:textId="77777777" w:rsidR="00643609" w:rsidRDefault="000651AA">
            <w:r>
              <w:rPr>
                <w:sz w:val="20"/>
              </w:rPr>
              <w:t>✔</w:t>
            </w:r>
          </w:p>
        </w:tc>
        <w:tc>
          <w:tcPr>
            <w:tcW w:w="1814" w:type="dxa"/>
          </w:tcPr>
          <w:p w14:paraId="69CF4729" w14:textId="77777777" w:rsidR="00643609" w:rsidRDefault="000651AA">
            <w:r>
              <w:rPr>
                <w:sz w:val="20"/>
              </w:rPr>
              <w:t>✔</w:t>
            </w:r>
          </w:p>
        </w:tc>
        <w:tc>
          <w:tcPr>
            <w:tcW w:w="1814" w:type="dxa"/>
          </w:tcPr>
          <w:p w14:paraId="4FE9E635" w14:textId="77777777" w:rsidR="00643609" w:rsidRDefault="000651AA">
            <w:r>
              <w:rPr>
                <w:sz w:val="20"/>
              </w:rPr>
              <w:t>✔</w:t>
            </w:r>
          </w:p>
        </w:tc>
      </w:tr>
      <w:tr w:rsidR="00643609" w14:paraId="72A92C58" w14:textId="77777777">
        <w:trPr>
          <w:cantSplit/>
          <w:jc w:val="center"/>
        </w:trPr>
        <w:tc>
          <w:tcPr>
            <w:tcW w:w="1814" w:type="dxa"/>
          </w:tcPr>
          <w:p w14:paraId="0E1CEBF0" w14:textId="77777777" w:rsidR="00643609" w:rsidRDefault="000651AA">
            <w:r>
              <w:rPr>
                <w:sz w:val="20"/>
              </w:rPr>
              <w:t>Transparência na gestão</w:t>
            </w:r>
          </w:p>
        </w:tc>
        <w:tc>
          <w:tcPr>
            <w:tcW w:w="1814" w:type="dxa"/>
          </w:tcPr>
          <w:p w14:paraId="06941954" w14:textId="77777777" w:rsidR="00643609" w:rsidRDefault="000651AA">
            <w:r>
              <w:rPr>
                <w:sz w:val="20"/>
              </w:rPr>
              <w:t>Responsabilização (prestação de contas)</w:t>
            </w:r>
          </w:p>
        </w:tc>
        <w:tc>
          <w:tcPr>
            <w:tcW w:w="1814" w:type="dxa"/>
          </w:tcPr>
          <w:p w14:paraId="7A9C5566" w14:textId="77777777" w:rsidR="00643609" w:rsidRDefault="000651AA">
            <w:r>
              <w:rPr>
                <w:sz w:val="20"/>
              </w:rPr>
              <w:t>✔</w:t>
            </w:r>
          </w:p>
        </w:tc>
        <w:tc>
          <w:tcPr>
            <w:tcW w:w="1814" w:type="dxa"/>
          </w:tcPr>
          <w:p w14:paraId="5A85187F" w14:textId="77777777" w:rsidR="00643609" w:rsidRDefault="000651AA">
            <w:r>
              <w:rPr>
                <w:sz w:val="20"/>
              </w:rPr>
              <w:t>✔</w:t>
            </w:r>
          </w:p>
        </w:tc>
        <w:tc>
          <w:tcPr>
            <w:tcW w:w="1814" w:type="dxa"/>
          </w:tcPr>
          <w:p w14:paraId="3F09B673" w14:textId="77777777" w:rsidR="00643609" w:rsidRDefault="000651AA">
            <w:r>
              <w:rPr>
                <w:sz w:val="20"/>
              </w:rPr>
              <w:t>✔</w:t>
            </w:r>
          </w:p>
        </w:tc>
      </w:tr>
      <w:tr w:rsidR="00643609" w14:paraId="75265AEE" w14:textId="77777777">
        <w:trPr>
          <w:cantSplit/>
          <w:jc w:val="center"/>
        </w:trPr>
        <w:tc>
          <w:tcPr>
            <w:tcW w:w="1814" w:type="dxa"/>
          </w:tcPr>
          <w:p w14:paraId="5F17329D" w14:textId="77777777" w:rsidR="00643609" w:rsidRDefault="00643609"/>
        </w:tc>
        <w:tc>
          <w:tcPr>
            <w:tcW w:w="1814" w:type="dxa"/>
          </w:tcPr>
          <w:p w14:paraId="17FD9A9D" w14:textId="77777777" w:rsidR="00643609" w:rsidRDefault="000651AA">
            <w:r>
              <w:rPr>
                <w:sz w:val="20"/>
              </w:rPr>
              <w:t>Relatórios ESG, de sustentabilidade e/ou relato integrado</w:t>
            </w:r>
          </w:p>
        </w:tc>
        <w:tc>
          <w:tcPr>
            <w:tcW w:w="1814" w:type="dxa"/>
          </w:tcPr>
          <w:p w14:paraId="772129E3" w14:textId="77777777" w:rsidR="00643609" w:rsidRDefault="000651AA">
            <w:r>
              <w:rPr>
                <w:sz w:val="20"/>
              </w:rPr>
              <w:t>✔</w:t>
            </w:r>
          </w:p>
        </w:tc>
        <w:tc>
          <w:tcPr>
            <w:tcW w:w="1814" w:type="dxa"/>
          </w:tcPr>
          <w:p w14:paraId="4E50D3CA" w14:textId="77777777" w:rsidR="00643609" w:rsidRDefault="000651AA">
            <w:r>
              <w:rPr>
                <w:sz w:val="20"/>
              </w:rPr>
              <w:t>✔</w:t>
            </w:r>
          </w:p>
        </w:tc>
        <w:tc>
          <w:tcPr>
            <w:tcW w:w="1814" w:type="dxa"/>
          </w:tcPr>
          <w:p w14:paraId="0DD9BCA2" w14:textId="77777777" w:rsidR="00643609" w:rsidRDefault="000651AA">
            <w:r>
              <w:rPr>
                <w:sz w:val="20"/>
              </w:rPr>
              <w:t>✔</w:t>
            </w:r>
          </w:p>
        </w:tc>
      </w:tr>
    </w:tbl>
    <w:p w14:paraId="5B7B529F" w14:textId="77777777" w:rsidR="00643609" w:rsidRDefault="00643609">
      <w:pPr>
        <w:spacing w:after="0" w:line="240" w:lineRule="auto"/>
      </w:pPr>
    </w:p>
    <w:p w14:paraId="251D88D6" w14:textId="77777777" w:rsidR="00643609" w:rsidRDefault="000651AA">
      <w:pPr>
        <w:keepLines/>
        <w:spacing w:after="240" w:line="240" w:lineRule="auto"/>
      </w:pPr>
      <w:r>
        <w:rPr>
          <w:sz w:val="20"/>
        </w:rPr>
        <w:t>Fonte: Adaptado de ABNT PR 2030 (2022)</w:t>
      </w:r>
    </w:p>
    <w:p w14:paraId="791742DE" w14:textId="77777777" w:rsidR="00643609" w:rsidRDefault="000651AA">
      <w:pPr>
        <w:spacing w:after="0" w:line="360" w:lineRule="auto"/>
        <w:ind w:firstLine="709"/>
        <w:jc w:val="both"/>
      </w:pPr>
      <w:r>
        <w:t xml:space="preserve">No </w:t>
      </w:r>
      <w:r>
        <w:t>âmbito da governança corporativa, destaca-se que as companhias são listadas no segmento Novo Mercado da B3, considerado o mais elevado nível de exigência em boas práticas de governança no mercado de capitais brasileiro. De modo geral, as organizações possu</w:t>
      </w:r>
      <w:r>
        <w:t>em estruturas compostas por Assembleia Geral dos Acionistas, Conselho de Administração, Diretoria Executiva e comitês de assessoramento, responsáveis por apoiar a tomada de decisões estratégicas e fortalecer a transparência e a eficiência na gestão.</w:t>
      </w:r>
    </w:p>
    <w:p w14:paraId="0C6D49A5" w14:textId="77777777" w:rsidR="00643609" w:rsidRDefault="000651AA">
      <w:pPr>
        <w:spacing w:after="0" w:line="360" w:lineRule="auto"/>
        <w:ind w:firstLine="709"/>
        <w:jc w:val="both"/>
      </w:pPr>
      <w:r>
        <w:t>No âmb</w:t>
      </w:r>
      <w:r>
        <w:t>ito da conduta empresarial, observa-se a presença de programas de compliance, códigos de ética e políticas anticorrupção que orientam a atuação dos colaboradores e parceiros comerciais, além de mecanismos formais para prevenção de irregularidades. As empre</w:t>
      </w:r>
      <w:r>
        <w:t>sas também demonstram preocupação com o engajamento das partes interessadas, conduzindo processos estruturados de diálogo e revisões periódicas de suas matrizes de materialidade, com o objetivo de alinhar suas estratégias às expectativas da sociedade, do m</w:t>
      </w:r>
      <w:r>
        <w:t>ercado e dos investidores.</w:t>
      </w:r>
    </w:p>
    <w:p w14:paraId="57AEF051" w14:textId="77777777" w:rsidR="00643609" w:rsidRDefault="000651AA">
      <w:pPr>
        <w:spacing w:after="0" w:line="360" w:lineRule="auto"/>
        <w:ind w:firstLine="709"/>
        <w:jc w:val="both"/>
      </w:pPr>
      <w:r>
        <w:t>Em relação às práticas de controle e gestão de riscos, as organizações contam com estruturas dedicadas ao monitoramento e à mitigação de riscos corporativos, apoiadas por comitês de auditoria, diretorias especializadas e sistemas</w:t>
      </w:r>
      <w:r>
        <w:t xml:space="preserve"> de controle interno. Esses mecanismos incluem modelos estruturados de gestão de riscos, auditorias internas e externas independentes e processos contínuos de avaliação dos controles organizacionais.</w:t>
      </w:r>
    </w:p>
    <w:p w14:paraId="6D464829" w14:textId="77777777" w:rsidR="00643609" w:rsidRDefault="000651AA">
      <w:pPr>
        <w:spacing w:after="0" w:line="360" w:lineRule="auto"/>
        <w:ind w:firstLine="709"/>
        <w:jc w:val="both"/>
      </w:pPr>
      <w:r>
        <w:t xml:space="preserve">Nesse contexto, também se destaca a adoção de políticas </w:t>
      </w:r>
      <w:r>
        <w:t xml:space="preserve">voltadas à segurança da informação e à proteção de dados pessoais, alinhadas às legislações </w:t>
      </w:r>
      <w:r>
        <w:lastRenderedPageBreak/>
        <w:t>vigentes e às melhores práticas de mercado, buscando assegurar a integridade das informações e a confiança dos</w:t>
      </w:r>
      <w:r>
        <w:rPr>
          <w:i/>
        </w:rPr>
        <w:t xml:space="preserve"> stakeholders</w:t>
      </w:r>
      <w:r>
        <w:t>.</w:t>
      </w:r>
    </w:p>
    <w:p w14:paraId="3C4B4CF3" w14:textId="77777777" w:rsidR="00643609" w:rsidRDefault="000651AA">
      <w:pPr>
        <w:spacing w:after="0" w:line="360" w:lineRule="auto"/>
        <w:ind w:firstLine="709"/>
        <w:jc w:val="both"/>
      </w:pPr>
      <w:r>
        <w:t>As empresas analisadas adotam mecanismo</w:t>
      </w:r>
      <w:r>
        <w:t>s de prestação de contas e divulgação de informações para investidores e sociedade, incluindo a publicação anual de relatórios de sustentabilidade elaborados com base em padrões internacionais, padrões internacionais de transparência, como as diretrizes da</w:t>
      </w:r>
      <w:r>
        <w:rPr>
          <w:i/>
        </w:rPr>
        <w:t xml:space="preserve"> Global Reporting Initiative (GRI)</w:t>
      </w:r>
      <w:r>
        <w:t xml:space="preserve"> e do</w:t>
      </w:r>
      <w:r>
        <w:rPr>
          <w:i/>
        </w:rPr>
        <w:t xml:space="preserve"> Sustainability Accounting Standards Board</w:t>
      </w:r>
      <w:r>
        <w:t xml:space="preserve"> (SASB). Além disso, as Lojas Renner, C&amp;A e a Riachuelo integram a carteira do Índice de Sustentabilidade Empresarial (ISE) da B3, que atualmente reúne cinco varejistas do set</w:t>
      </w:r>
      <w:r>
        <w:t>or de moda, evidenciando o reconhecimento do mercado financeiro em relação às empresas alinhadas a práticas de investimento socialmente responsável. A Renner se destaca entre as três varejistas por apresentar, em 2025, seu primeiro relatório de sustentabil</w:t>
      </w:r>
      <w:r>
        <w:t xml:space="preserve">idade alinhado às normas IFRS S1 e IFRS S2, emitidas pelo ISSB. Com essa iniciativa, a companhia tornou-se a primeira varejista do mundo a adotar, de forma voluntária e antecipada, esses padrões internacionais de divulgação, reforçando seu compromisso com </w:t>
      </w:r>
      <w:r>
        <w:t>a transparência, a geração de valor e o atendimento às demandas de seus</w:t>
      </w:r>
      <w:r>
        <w:rPr>
          <w:i/>
        </w:rPr>
        <w:t xml:space="preserve"> stakeholders</w:t>
      </w:r>
      <w:r>
        <w:t xml:space="preserve"> e da sociedade (Exame, 2024).</w:t>
      </w:r>
    </w:p>
    <w:p w14:paraId="2FD3CA17" w14:textId="77777777" w:rsidR="00643609" w:rsidRDefault="000651AA">
      <w:pPr>
        <w:spacing w:after="0" w:line="360" w:lineRule="auto"/>
        <w:ind w:firstLine="709"/>
        <w:jc w:val="both"/>
      </w:pPr>
      <w:r>
        <w:t xml:space="preserve">Observa-se ainda a vinculação de parte da remuneração variável da alta liderança ao cumprimento de metas ESG, reforçando o alinhamento entre </w:t>
      </w:r>
      <w:r>
        <w:t>a estratégia corporativa, os resultados financeiros e os compromissos socioambientais assumidos pelas companhias.</w:t>
      </w:r>
    </w:p>
    <w:p w14:paraId="6AFC9697" w14:textId="77777777" w:rsidR="00643609" w:rsidRDefault="000651AA">
      <w:pPr>
        <w:spacing w:after="0" w:line="360" w:lineRule="auto"/>
        <w:ind w:firstLine="709"/>
        <w:jc w:val="both"/>
      </w:pPr>
      <w:r>
        <w:t>Com a investigação dos relatórios de sustentabilidade das três empresas varejistas consolidadas como as maiores do seu setor, com alta relevân</w:t>
      </w:r>
      <w:r>
        <w:t>cia e representatividade é possível encontrar práticas ESG na maior parte dos critérios listados pela ABNT PR 2030 (2022), o que sustenta a posição dos autores Fiorot e Albuquerque (2022), que afirmam que é possível compor o sucesso empresarial com prática</w:t>
      </w:r>
      <w:r>
        <w:t>s de sustentabilidade.</w:t>
      </w:r>
    </w:p>
    <w:p w14:paraId="772A0E92" w14:textId="77777777" w:rsidR="00643609" w:rsidRDefault="000651AA">
      <w:pPr>
        <w:keepNext/>
        <w:spacing w:before="360" w:after="240" w:line="360" w:lineRule="auto"/>
      </w:pPr>
      <w:r>
        <w:rPr>
          <w:b/>
        </w:rPr>
        <w:t>4.2 Análise das estratégias, diferenciação entre as organizações e seu desempenho no</w:t>
      </w:r>
      <w:r>
        <w:rPr>
          <w:b/>
          <w:i/>
        </w:rPr>
        <w:t xml:space="preserve"> ranking</w:t>
      </w:r>
      <w:r>
        <w:rPr>
          <w:b/>
        </w:rPr>
        <w:t xml:space="preserve"> Merco</w:t>
      </w:r>
    </w:p>
    <w:p w14:paraId="237DF0A6" w14:textId="77777777" w:rsidR="00643609" w:rsidRDefault="000651AA">
      <w:pPr>
        <w:spacing w:after="0" w:line="360" w:lineRule="auto"/>
        <w:ind w:firstLine="709"/>
        <w:jc w:val="both"/>
      </w:pPr>
      <w:r>
        <w:t>A partir da investigação integrada dos eixos ambiental, social e de governança, foi utilizado o modelo de avaliação e direcionamento p</w:t>
      </w:r>
      <w:r>
        <w:t xml:space="preserve">roposto pela ABNT PR 2030 (2022) para identificar e reconhecer o estágio de maturidade em </w:t>
      </w:r>
      <w:r>
        <w:lastRenderedPageBreak/>
        <w:t>relação aos critérios ESG nas empresas Renner, C&amp;A e Riachuelo, apresentado no Quadro 5.</w:t>
      </w:r>
    </w:p>
    <w:tbl>
      <w:tblPr>
        <w:tblStyle w:val="Tabelacomgrade"/>
        <w:tblW w:w="0" w:type="auto"/>
        <w:jc w:val="center"/>
        <w:tblLayout w:type="fixed"/>
        <w:tblLook w:val="04A0" w:firstRow="1" w:lastRow="0" w:firstColumn="1" w:lastColumn="0" w:noHBand="0" w:noVBand="1"/>
      </w:tblPr>
      <w:tblGrid>
        <w:gridCol w:w="3024"/>
        <w:gridCol w:w="3024"/>
        <w:gridCol w:w="3024"/>
      </w:tblGrid>
      <w:tr w:rsidR="00643609" w14:paraId="7854EC0B" w14:textId="77777777">
        <w:trPr>
          <w:cantSplit/>
          <w:tblHeader/>
          <w:jc w:val="center"/>
        </w:trPr>
        <w:tc>
          <w:tcPr>
            <w:tcW w:w="9070" w:type="dxa"/>
            <w:gridSpan w:val="3"/>
            <w:tcBorders>
              <w:top w:val="nil"/>
              <w:left w:val="nil"/>
              <w:bottom w:val="nil"/>
              <w:right w:val="nil"/>
            </w:tcBorders>
          </w:tcPr>
          <w:p w14:paraId="3185E2A7" w14:textId="77777777" w:rsidR="00643609" w:rsidRDefault="000651AA">
            <w:pPr>
              <w:keepNext/>
              <w:keepLines/>
              <w:spacing w:after="120"/>
            </w:pPr>
            <w:r>
              <w:rPr>
                <w:sz w:val="20"/>
              </w:rPr>
              <w:t xml:space="preserve">Quadro 5– Estágios de maturidade das empresas Renner, C&amp;A e </w:t>
            </w:r>
            <w:r>
              <w:rPr>
                <w:sz w:val="20"/>
              </w:rPr>
              <w:t>Riachuelo</w:t>
            </w:r>
          </w:p>
        </w:tc>
      </w:tr>
      <w:tr w:rsidR="00643609" w14:paraId="3EC60C60" w14:textId="77777777">
        <w:trPr>
          <w:cantSplit/>
          <w:tblHeader/>
          <w:jc w:val="center"/>
        </w:trPr>
        <w:tc>
          <w:tcPr>
            <w:tcW w:w="3024" w:type="dxa"/>
            <w:shd w:val="clear" w:color="auto" w:fill="E7E6E6"/>
          </w:tcPr>
          <w:p w14:paraId="6CF057DB" w14:textId="77777777" w:rsidR="00643609" w:rsidRDefault="000651AA">
            <w:pPr>
              <w:keepNext/>
            </w:pPr>
            <w:r>
              <w:rPr>
                <w:b/>
                <w:sz w:val="20"/>
              </w:rPr>
              <w:t>Empresa</w:t>
            </w:r>
          </w:p>
        </w:tc>
        <w:tc>
          <w:tcPr>
            <w:tcW w:w="3024" w:type="dxa"/>
            <w:shd w:val="clear" w:color="auto" w:fill="E7E6E6"/>
          </w:tcPr>
          <w:p w14:paraId="5B67621F" w14:textId="77777777" w:rsidR="00643609" w:rsidRDefault="000651AA">
            <w:pPr>
              <w:keepNext/>
            </w:pPr>
            <w:r>
              <w:rPr>
                <w:b/>
                <w:sz w:val="20"/>
              </w:rPr>
              <w:t>Estágio de maturidade</w:t>
            </w:r>
          </w:p>
        </w:tc>
        <w:tc>
          <w:tcPr>
            <w:tcW w:w="3024" w:type="dxa"/>
            <w:shd w:val="clear" w:color="auto" w:fill="E7E6E6"/>
          </w:tcPr>
          <w:p w14:paraId="282C18F4" w14:textId="77777777" w:rsidR="00643609" w:rsidRDefault="000651AA">
            <w:pPr>
              <w:keepNext/>
            </w:pPr>
            <w:r>
              <w:rPr>
                <w:b/>
                <w:sz w:val="20"/>
              </w:rPr>
              <w:t>Justificativa</w:t>
            </w:r>
          </w:p>
        </w:tc>
      </w:tr>
      <w:tr w:rsidR="00643609" w14:paraId="097DC457" w14:textId="77777777">
        <w:trPr>
          <w:cantSplit/>
          <w:jc w:val="center"/>
        </w:trPr>
        <w:tc>
          <w:tcPr>
            <w:tcW w:w="3024" w:type="dxa"/>
          </w:tcPr>
          <w:p w14:paraId="4ED5A082" w14:textId="77777777" w:rsidR="00643609" w:rsidRDefault="000651AA">
            <w:pPr>
              <w:keepNext/>
            </w:pPr>
            <w:r>
              <w:rPr>
                <w:sz w:val="20"/>
              </w:rPr>
              <w:t>Renner</w:t>
            </w:r>
          </w:p>
        </w:tc>
        <w:tc>
          <w:tcPr>
            <w:tcW w:w="3024" w:type="dxa"/>
          </w:tcPr>
          <w:p w14:paraId="747B68B3" w14:textId="77777777" w:rsidR="00643609" w:rsidRDefault="000651AA">
            <w:pPr>
              <w:keepNext/>
            </w:pPr>
            <w:r>
              <w:rPr>
                <w:sz w:val="20"/>
              </w:rPr>
              <w:t>Estágio 4 - Estratégico</w:t>
            </w:r>
          </w:p>
        </w:tc>
        <w:tc>
          <w:tcPr>
            <w:tcW w:w="3024" w:type="dxa"/>
          </w:tcPr>
          <w:p w14:paraId="3D6C9430" w14:textId="77777777" w:rsidR="00643609" w:rsidRDefault="000651AA">
            <w:pPr>
              <w:keepNext/>
            </w:pPr>
            <w:r>
              <w:rPr>
                <w:sz w:val="20"/>
              </w:rPr>
              <w:t xml:space="preserve">Demonstra alto grau de integração dos princípios ESG à estratégia de negócio. Suas práticas ultrapassam o cumprimento legal, incorporando a </w:t>
            </w:r>
            <w:r>
              <w:rPr>
                <w:sz w:val="20"/>
              </w:rPr>
              <w:t>sustentabilidade ao modelo de gestão e decisão estratégica</w:t>
            </w:r>
          </w:p>
        </w:tc>
      </w:tr>
      <w:tr w:rsidR="00643609" w14:paraId="6B1544C9" w14:textId="77777777">
        <w:trPr>
          <w:cantSplit/>
          <w:jc w:val="center"/>
        </w:trPr>
        <w:tc>
          <w:tcPr>
            <w:tcW w:w="3024" w:type="dxa"/>
          </w:tcPr>
          <w:p w14:paraId="38E1FB59" w14:textId="77777777" w:rsidR="00643609" w:rsidRDefault="000651AA">
            <w:pPr>
              <w:keepNext/>
            </w:pPr>
            <w:r>
              <w:rPr>
                <w:sz w:val="20"/>
              </w:rPr>
              <w:t>C&amp;A</w:t>
            </w:r>
          </w:p>
        </w:tc>
        <w:tc>
          <w:tcPr>
            <w:tcW w:w="3024" w:type="dxa"/>
          </w:tcPr>
          <w:p w14:paraId="50745295" w14:textId="77777777" w:rsidR="00643609" w:rsidRDefault="000651AA">
            <w:pPr>
              <w:keepNext/>
            </w:pPr>
            <w:r>
              <w:rPr>
                <w:sz w:val="20"/>
              </w:rPr>
              <w:t>Estágio 4 - Estratégico</w:t>
            </w:r>
          </w:p>
        </w:tc>
        <w:tc>
          <w:tcPr>
            <w:tcW w:w="3024" w:type="dxa"/>
          </w:tcPr>
          <w:p w14:paraId="19910263" w14:textId="77777777" w:rsidR="00643609" w:rsidRDefault="000651AA">
            <w:pPr>
              <w:keepNext/>
            </w:pPr>
            <w:r>
              <w:rPr>
                <w:sz w:val="20"/>
              </w:rPr>
              <w:t xml:space="preserve">Possui políticas em todos os pilares ESG, define metas de impacto positivo e integra práticas ESG as decisões corporativas e a sua cadeia de valor, promovendo </w:t>
            </w:r>
            <w:r>
              <w:rPr>
                <w:sz w:val="20"/>
              </w:rPr>
              <w:t>inovação e transparência</w:t>
            </w:r>
          </w:p>
        </w:tc>
      </w:tr>
      <w:tr w:rsidR="00643609" w14:paraId="50C1F998" w14:textId="77777777">
        <w:trPr>
          <w:cantSplit/>
          <w:jc w:val="center"/>
        </w:trPr>
        <w:tc>
          <w:tcPr>
            <w:tcW w:w="3024" w:type="dxa"/>
          </w:tcPr>
          <w:p w14:paraId="29FCD565" w14:textId="77777777" w:rsidR="00643609" w:rsidRDefault="000651AA">
            <w:r>
              <w:rPr>
                <w:sz w:val="20"/>
              </w:rPr>
              <w:t>Riachuelo</w:t>
            </w:r>
          </w:p>
        </w:tc>
        <w:tc>
          <w:tcPr>
            <w:tcW w:w="3024" w:type="dxa"/>
          </w:tcPr>
          <w:p w14:paraId="63935FA0" w14:textId="77777777" w:rsidR="00643609" w:rsidRDefault="000651AA">
            <w:r>
              <w:rPr>
                <w:sz w:val="20"/>
              </w:rPr>
              <w:t>Estágio 3 - Gerencial</w:t>
            </w:r>
          </w:p>
        </w:tc>
        <w:tc>
          <w:tcPr>
            <w:tcW w:w="3024" w:type="dxa"/>
          </w:tcPr>
          <w:p w14:paraId="27C87875" w14:textId="77777777" w:rsidR="00643609" w:rsidRDefault="000651AA">
            <w:r>
              <w:rPr>
                <w:sz w:val="20"/>
              </w:rPr>
              <w:t>Adota boas práticas de ESG, mas com menor integração estratégica. As ações concentram-se em políticas operacionais e programas de sustentabilidade, diversidade e Compliance</w:t>
            </w:r>
          </w:p>
        </w:tc>
      </w:tr>
    </w:tbl>
    <w:p w14:paraId="3C9114EF" w14:textId="77777777" w:rsidR="00643609" w:rsidRDefault="00643609">
      <w:pPr>
        <w:spacing w:after="0" w:line="240" w:lineRule="auto"/>
      </w:pPr>
    </w:p>
    <w:p w14:paraId="24DCF110" w14:textId="77777777" w:rsidR="00643609" w:rsidRDefault="000651AA">
      <w:pPr>
        <w:keepLines/>
        <w:spacing w:after="240" w:line="240" w:lineRule="auto"/>
      </w:pPr>
      <w:r>
        <w:rPr>
          <w:sz w:val="20"/>
        </w:rPr>
        <w:t>Fonte: Dados da pesquis</w:t>
      </w:r>
      <w:r>
        <w:rPr>
          <w:sz w:val="20"/>
        </w:rPr>
        <w:t>a (2025)</w:t>
      </w:r>
    </w:p>
    <w:p w14:paraId="4B18BD4A" w14:textId="77777777" w:rsidR="00643609" w:rsidRDefault="000651AA">
      <w:pPr>
        <w:spacing w:after="0" w:line="360" w:lineRule="auto"/>
        <w:ind w:firstLine="709"/>
        <w:jc w:val="both"/>
      </w:pPr>
      <w:r>
        <w:t>Os resultados indicam que Renner e C&amp;A se encontram no estágio estratégico, evidenciando elevada integração das práticas sustentáveis ao modelo de negócio, com metas públicas, relatórios estruturados e compromissos de longo prazo. Já a Riachuelo a</w:t>
      </w:r>
      <w:r>
        <w:t xml:space="preserve">presenta estágio gerencial, demonstrando boas práticas relacionadas ao ESG, porém com menor integração estratégica em comparação às demais empresas analisadas. De modo geral, observa-se que as três organizações apresentam comprometimento com os princípios </w:t>
      </w:r>
      <w:r>
        <w:t>ESG, embora em diferentes níveis de maturidade e consolidação da gestão sustentável no setor do varejo da moda.</w:t>
      </w:r>
    </w:p>
    <w:p w14:paraId="0F22AEDB" w14:textId="77777777" w:rsidR="00643609" w:rsidRDefault="000651AA">
      <w:pPr>
        <w:spacing w:after="0" w:line="360" w:lineRule="auto"/>
        <w:ind w:firstLine="709"/>
        <w:jc w:val="both"/>
      </w:pPr>
      <w:r>
        <w:t>A identificação desses estágios permite compreender o grau de integração das estratégias sustentáveis na gestão organizacional, aspecto diretame</w:t>
      </w:r>
      <w:r>
        <w:t>nte relacionado à reputação corporativa das empresas conforme sugere a literatura ao descrever que empresas que se envolvem em atividades e práticas mais sustentáveis cultivam uma imagem pública positiva, e tem um melhor desempenho em termos de reputação (</w:t>
      </w:r>
      <w:r>
        <w:t>Borsatto; Baggio; Brum, 2023; Lins, 2015; Macedo</w:t>
      </w:r>
      <w:r>
        <w:rPr>
          <w:i/>
        </w:rPr>
        <w:t xml:space="preserve"> et al.</w:t>
      </w:r>
      <w:r>
        <w:t>, 2022; Moreira; Brito; Lima, 2020; Pereira, 2020; Ramírez-Barredo; Guerrero Glez-</w:t>
      </w:r>
      <w:r>
        <w:lastRenderedPageBreak/>
        <w:t>Valerio, 2024; SanMiguel</w:t>
      </w:r>
      <w:r>
        <w:rPr>
          <w:i/>
        </w:rPr>
        <w:t xml:space="preserve"> et al.</w:t>
      </w:r>
      <w:r>
        <w:t>, 2021; Santos; Silva, 2017;Tachizawa; Andrade, 2011; Vy; Thanh, 2025).</w:t>
      </w:r>
    </w:p>
    <w:p w14:paraId="409ABB69" w14:textId="77777777" w:rsidR="00643609" w:rsidRDefault="000651AA">
      <w:pPr>
        <w:spacing w:after="0" w:line="360" w:lineRule="auto"/>
        <w:ind w:firstLine="709"/>
        <w:jc w:val="both"/>
      </w:pPr>
      <w:r>
        <w:t xml:space="preserve">Nesse contexto, </w:t>
      </w:r>
      <w:r>
        <w:t>a pesquisa é complementada pela avaliação do desempenho das organizações no</w:t>
      </w:r>
      <w:r>
        <w:rPr>
          <w:i/>
        </w:rPr>
        <w:t xml:space="preserve"> ranking</w:t>
      </w:r>
      <w:r>
        <w:t xml:space="preserve"> Merco Responsabilidade ESG, que possibilita mensurar a percepção externa das práticas de sustentabilidade a partir da avaliação de diferentes</w:t>
      </w:r>
      <w:r>
        <w:rPr>
          <w:i/>
        </w:rPr>
        <w:t xml:space="preserve"> stakeholders</w:t>
      </w:r>
      <w:r>
        <w:t>, descrito no Quad</w:t>
      </w:r>
      <w:r>
        <w:t>ro 6.</w:t>
      </w:r>
    </w:p>
    <w:tbl>
      <w:tblPr>
        <w:tblStyle w:val="Tabelacomgrade"/>
        <w:tblW w:w="0" w:type="auto"/>
        <w:jc w:val="center"/>
        <w:tblLayout w:type="fixed"/>
        <w:tblLook w:val="04A0" w:firstRow="1" w:lastRow="0" w:firstColumn="1" w:lastColumn="0" w:noHBand="0" w:noVBand="1"/>
      </w:tblPr>
      <w:tblGrid>
        <w:gridCol w:w="2268"/>
        <w:gridCol w:w="2268"/>
        <w:gridCol w:w="2268"/>
        <w:gridCol w:w="2268"/>
      </w:tblGrid>
      <w:tr w:rsidR="00643609" w14:paraId="2B7E1D65" w14:textId="77777777">
        <w:trPr>
          <w:cantSplit/>
          <w:tblHeader/>
          <w:jc w:val="center"/>
        </w:trPr>
        <w:tc>
          <w:tcPr>
            <w:tcW w:w="9070" w:type="dxa"/>
            <w:gridSpan w:val="4"/>
            <w:tcBorders>
              <w:top w:val="nil"/>
              <w:left w:val="nil"/>
              <w:bottom w:val="nil"/>
              <w:right w:val="nil"/>
            </w:tcBorders>
          </w:tcPr>
          <w:p w14:paraId="0B14794C" w14:textId="77777777" w:rsidR="00643609" w:rsidRDefault="000651AA">
            <w:pPr>
              <w:keepNext/>
              <w:keepLines/>
              <w:spacing w:after="120"/>
            </w:pPr>
            <w:r>
              <w:rPr>
                <w:sz w:val="20"/>
              </w:rPr>
              <w:t>Quadro 6 - Classificação das empresas no Ranking Merco</w:t>
            </w:r>
          </w:p>
        </w:tc>
      </w:tr>
      <w:tr w:rsidR="00643609" w14:paraId="532A8CA1" w14:textId="77777777">
        <w:trPr>
          <w:cantSplit/>
          <w:tblHeader/>
          <w:jc w:val="center"/>
        </w:trPr>
        <w:tc>
          <w:tcPr>
            <w:tcW w:w="2268" w:type="dxa"/>
            <w:shd w:val="clear" w:color="auto" w:fill="E7E6E6"/>
          </w:tcPr>
          <w:p w14:paraId="203A7BCB" w14:textId="77777777" w:rsidR="00643609" w:rsidRDefault="000651AA">
            <w:pPr>
              <w:keepNext/>
            </w:pPr>
            <w:r>
              <w:rPr>
                <w:b/>
                <w:sz w:val="20"/>
              </w:rPr>
              <w:t>Empresa</w:t>
            </w:r>
          </w:p>
        </w:tc>
        <w:tc>
          <w:tcPr>
            <w:tcW w:w="2268" w:type="dxa"/>
            <w:shd w:val="clear" w:color="auto" w:fill="E7E6E6"/>
          </w:tcPr>
          <w:p w14:paraId="7EABD4E3" w14:textId="77777777" w:rsidR="00643609" w:rsidRDefault="000651AA">
            <w:pPr>
              <w:keepNext/>
            </w:pPr>
            <w:r>
              <w:rPr>
                <w:b/>
                <w:sz w:val="20"/>
              </w:rPr>
              <w:t>Colocação</w:t>
            </w:r>
          </w:p>
        </w:tc>
        <w:tc>
          <w:tcPr>
            <w:tcW w:w="2268" w:type="dxa"/>
            <w:shd w:val="clear" w:color="auto" w:fill="E7E6E6"/>
          </w:tcPr>
          <w:p w14:paraId="211306DF" w14:textId="77777777" w:rsidR="00643609" w:rsidRDefault="000651AA">
            <w:pPr>
              <w:keepNext/>
            </w:pPr>
            <w:r>
              <w:rPr>
                <w:b/>
                <w:sz w:val="20"/>
              </w:rPr>
              <w:t>Ranking</w:t>
            </w:r>
          </w:p>
        </w:tc>
        <w:tc>
          <w:tcPr>
            <w:tcW w:w="2268" w:type="dxa"/>
            <w:shd w:val="clear" w:color="auto" w:fill="E7E6E6"/>
          </w:tcPr>
          <w:p w14:paraId="71FB5CF8" w14:textId="77777777" w:rsidR="00643609" w:rsidRDefault="000651AA">
            <w:pPr>
              <w:keepNext/>
            </w:pPr>
            <w:r>
              <w:rPr>
                <w:b/>
                <w:sz w:val="20"/>
              </w:rPr>
              <w:t>Setor</w:t>
            </w:r>
          </w:p>
        </w:tc>
      </w:tr>
      <w:tr w:rsidR="00643609" w14:paraId="278AE12C" w14:textId="77777777">
        <w:trPr>
          <w:cantSplit/>
          <w:jc w:val="center"/>
        </w:trPr>
        <w:tc>
          <w:tcPr>
            <w:tcW w:w="2268" w:type="dxa"/>
          </w:tcPr>
          <w:p w14:paraId="2261E41E" w14:textId="77777777" w:rsidR="00643609" w:rsidRDefault="000651AA">
            <w:pPr>
              <w:keepNext/>
            </w:pPr>
            <w:r>
              <w:rPr>
                <w:sz w:val="20"/>
              </w:rPr>
              <w:t>Renner</w:t>
            </w:r>
          </w:p>
        </w:tc>
        <w:tc>
          <w:tcPr>
            <w:tcW w:w="2268" w:type="dxa"/>
          </w:tcPr>
          <w:p w14:paraId="20790E65" w14:textId="77777777" w:rsidR="00643609" w:rsidRDefault="000651AA">
            <w:pPr>
              <w:keepNext/>
            </w:pPr>
            <w:r>
              <w:rPr>
                <w:sz w:val="20"/>
              </w:rPr>
              <w:t>1° lugar</w:t>
            </w:r>
          </w:p>
        </w:tc>
        <w:tc>
          <w:tcPr>
            <w:tcW w:w="2268" w:type="dxa"/>
          </w:tcPr>
          <w:p w14:paraId="5F29F4B5" w14:textId="77777777" w:rsidR="00643609" w:rsidRDefault="000651AA">
            <w:pPr>
              <w:keepNext/>
            </w:pPr>
            <w:r>
              <w:rPr>
                <w:sz w:val="20"/>
              </w:rPr>
              <w:t>Merco Responsabilidade ESG 2024</w:t>
            </w:r>
          </w:p>
        </w:tc>
        <w:tc>
          <w:tcPr>
            <w:tcW w:w="2268" w:type="dxa"/>
          </w:tcPr>
          <w:p w14:paraId="679DB08C" w14:textId="77777777" w:rsidR="00643609" w:rsidRDefault="000651AA">
            <w:pPr>
              <w:keepNext/>
            </w:pPr>
            <w:r>
              <w:rPr>
                <w:sz w:val="20"/>
              </w:rPr>
              <w:t>Varejo da moda</w:t>
            </w:r>
          </w:p>
        </w:tc>
      </w:tr>
      <w:tr w:rsidR="00643609" w14:paraId="7DBCD33D" w14:textId="77777777">
        <w:trPr>
          <w:cantSplit/>
          <w:jc w:val="center"/>
        </w:trPr>
        <w:tc>
          <w:tcPr>
            <w:tcW w:w="2268" w:type="dxa"/>
          </w:tcPr>
          <w:p w14:paraId="15ED278F" w14:textId="77777777" w:rsidR="00643609" w:rsidRDefault="000651AA">
            <w:pPr>
              <w:keepNext/>
            </w:pPr>
            <w:r>
              <w:rPr>
                <w:sz w:val="20"/>
              </w:rPr>
              <w:t>Riachuelo</w:t>
            </w:r>
          </w:p>
        </w:tc>
        <w:tc>
          <w:tcPr>
            <w:tcW w:w="2268" w:type="dxa"/>
          </w:tcPr>
          <w:p w14:paraId="461352DE" w14:textId="77777777" w:rsidR="00643609" w:rsidRDefault="000651AA">
            <w:pPr>
              <w:keepNext/>
            </w:pPr>
            <w:r>
              <w:rPr>
                <w:sz w:val="20"/>
              </w:rPr>
              <w:t>2° lugar</w:t>
            </w:r>
          </w:p>
        </w:tc>
        <w:tc>
          <w:tcPr>
            <w:tcW w:w="2268" w:type="dxa"/>
          </w:tcPr>
          <w:p w14:paraId="6E5EF825" w14:textId="77777777" w:rsidR="00643609" w:rsidRDefault="00643609">
            <w:pPr>
              <w:keepNext/>
            </w:pPr>
          </w:p>
        </w:tc>
        <w:tc>
          <w:tcPr>
            <w:tcW w:w="2268" w:type="dxa"/>
          </w:tcPr>
          <w:p w14:paraId="4C629A0D" w14:textId="77777777" w:rsidR="00643609" w:rsidRDefault="00643609">
            <w:pPr>
              <w:keepNext/>
            </w:pPr>
          </w:p>
        </w:tc>
      </w:tr>
      <w:tr w:rsidR="00643609" w14:paraId="0BC2E2E7" w14:textId="77777777">
        <w:trPr>
          <w:cantSplit/>
          <w:jc w:val="center"/>
        </w:trPr>
        <w:tc>
          <w:tcPr>
            <w:tcW w:w="2268" w:type="dxa"/>
          </w:tcPr>
          <w:p w14:paraId="5000C84A" w14:textId="77777777" w:rsidR="00643609" w:rsidRDefault="000651AA">
            <w:r>
              <w:rPr>
                <w:sz w:val="20"/>
              </w:rPr>
              <w:t>C&amp;A</w:t>
            </w:r>
          </w:p>
        </w:tc>
        <w:tc>
          <w:tcPr>
            <w:tcW w:w="2268" w:type="dxa"/>
          </w:tcPr>
          <w:p w14:paraId="4910A5E9" w14:textId="77777777" w:rsidR="00643609" w:rsidRDefault="000651AA">
            <w:r>
              <w:rPr>
                <w:sz w:val="20"/>
              </w:rPr>
              <w:t>3° lugar</w:t>
            </w:r>
          </w:p>
        </w:tc>
        <w:tc>
          <w:tcPr>
            <w:tcW w:w="2268" w:type="dxa"/>
          </w:tcPr>
          <w:p w14:paraId="1EB9AC1F" w14:textId="77777777" w:rsidR="00643609" w:rsidRDefault="00643609"/>
        </w:tc>
        <w:tc>
          <w:tcPr>
            <w:tcW w:w="2268" w:type="dxa"/>
          </w:tcPr>
          <w:p w14:paraId="540CD7E2" w14:textId="77777777" w:rsidR="00643609" w:rsidRDefault="00643609"/>
        </w:tc>
      </w:tr>
    </w:tbl>
    <w:p w14:paraId="4E877DAD" w14:textId="77777777" w:rsidR="00643609" w:rsidRDefault="00643609">
      <w:pPr>
        <w:spacing w:after="0" w:line="240" w:lineRule="auto"/>
      </w:pPr>
    </w:p>
    <w:p w14:paraId="3EED33CF" w14:textId="77777777" w:rsidR="00643609" w:rsidRDefault="000651AA">
      <w:pPr>
        <w:keepLines/>
        <w:spacing w:after="240" w:line="240" w:lineRule="auto"/>
      </w:pPr>
      <w:r>
        <w:rPr>
          <w:sz w:val="20"/>
        </w:rPr>
        <w:t>Fonte: Dados da pesquisa (2025)</w:t>
      </w:r>
    </w:p>
    <w:p w14:paraId="2CE95D7F" w14:textId="77777777" w:rsidR="00643609" w:rsidRDefault="000651AA">
      <w:pPr>
        <w:spacing w:after="0" w:line="360" w:lineRule="auto"/>
        <w:ind w:firstLine="709"/>
        <w:jc w:val="both"/>
      </w:pPr>
      <w:r>
        <w:t xml:space="preserve">Os resultados </w:t>
      </w:r>
      <w:r>
        <w:t>demonstram que a Renner ocupa a primeira posição no</w:t>
      </w:r>
      <w:r>
        <w:rPr>
          <w:i/>
        </w:rPr>
        <w:t xml:space="preserve"> ranking</w:t>
      </w:r>
      <w:r>
        <w:t xml:space="preserve"> do setor, seguida pela Riachuelo e pela C&amp;A, evidenciando o reconhecimento público das práticas ESG adotadas por essas organizações. A liderança da Renner demonstra a forte integração das estratég</w:t>
      </w:r>
      <w:r>
        <w:t>ias de sustentabilidade ao seu modelo de negócios e a ampla comunicação de seus resultados ao mercado. Além disso, observa-se que apenas a Renner figura entre as empresas com melhor desempenho nos três eixos do</w:t>
      </w:r>
      <w:r>
        <w:rPr>
          <w:i/>
        </w:rPr>
        <w:t xml:space="preserve"> ranking</w:t>
      </w:r>
      <w:r>
        <w:t xml:space="preserve"> ESG do Merco, reforçando o reconhecim</w:t>
      </w:r>
      <w:r>
        <w:t>ento de suas práticas sustentáveis e o fortalecimento de sua reputação no mercado.</w:t>
      </w:r>
    </w:p>
    <w:p w14:paraId="0FB4AE0D" w14:textId="77777777" w:rsidR="00643609" w:rsidRDefault="000651AA">
      <w:pPr>
        <w:spacing w:after="0" w:line="360" w:lineRule="auto"/>
        <w:ind w:firstLine="709"/>
        <w:jc w:val="both"/>
      </w:pPr>
      <w:r>
        <w:t>A Riachuelo, mesmo apresentando estágio de maturidade gerencial, alcança a segunda posição no</w:t>
      </w:r>
      <w:r>
        <w:rPr>
          <w:i/>
        </w:rPr>
        <w:t xml:space="preserve"> ranking</w:t>
      </w:r>
      <w:r>
        <w:t xml:space="preserve"> Merco, refletindo a percepção positiva de suas iniciativas. Já a C&amp;A, apesar de possuir práticas estruturadas de ESG, apresenta posição inferior, ocupando o terceiro lugar no</w:t>
      </w:r>
      <w:r>
        <w:rPr>
          <w:i/>
        </w:rPr>
        <w:t xml:space="preserve"> ranking,</w:t>
      </w:r>
      <w:r>
        <w:t xml:space="preserve"> indicando que a reputação corporativa depende não apenas da implementaç</w:t>
      </w:r>
      <w:r>
        <w:t>ão das ações, mas também da forma como essas práticas são comunicadas e percebidas pelos s</w:t>
      </w:r>
      <w:r>
        <w:rPr>
          <w:i/>
        </w:rPr>
        <w:t>takeholders</w:t>
      </w:r>
      <w:r>
        <w:t>.</w:t>
      </w:r>
    </w:p>
    <w:p w14:paraId="2185E531" w14:textId="77777777" w:rsidR="00643609" w:rsidRDefault="000651AA">
      <w:pPr>
        <w:keepNext/>
        <w:spacing w:before="360" w:after="240" w:line="360" w:lineRule="auto"/>
      </w:pPr>
      <w:r>
        <w:rPr>
          <w:b/>
        </w:rPr>
        <w:t>5 CONSIDERAÇÕES FINAIS</w:t>
      </w:r>
    </w:p>
    <w:p w14:paraId="28B652AF" w14:textId="77777777" w:rsidR="00643609" w:rsidRDefault="000651AA">
      <w:pPr>
        <w:spacing w:after="0" w:line="360" w:lineRule="auto"/>
        <w:ind w:firstLine="709"/>
        <w:jc w:val="both"/>
      </w:pPr>
      <w:r>
        <w:t>Este estudo teve como objetivo compreender como as estratégias nos pilares ambiental, social e de governança influenciam o desempe</w:t>
      </w:r>
      <w:r>
        <w:t>nho das organizações do varejo da moda listadas no</w:t>
      </w:r>
      <w:r>
        <w:rPr>
          <w:i/>
        </w:rPr>
        <w:t xml:space="preserve"> ranking</w:t>
      </w:r>
      <w:r>
        <w:t xml:space="preserve"> merco. Os resultados demonstraram que as empresas analisadas apresentam práticas relevantes alinhadas aos critérios de ESG, com iniciativas voltadas à gestão ambiental, ao incentivo à diversidade e</w:t>
      </w:r>
      <w:r>
        <w:t xml:space="preserve"> </w:t>
      </w:r>
      <w:r>
        <w:lastRenderedPageBreak/>
        <w:t>inclusão, ao desenvolvimento social e à adoção de práticas de governança baseadas na ética, transparência e controle da cadeia produtiva. A análise comparativa também evidenciou que o compromisso com os princípios ESG contribui para o fortalecimento da re</w:t>
      </w:r>
      <w:r>
        <w:t>putação corporativa e para o posicionamento de destaque dessas empresas em</w:t>
      </w:r>
      <w:r>
        <w:rPr>
          <w:i/>
        </w:rPr>
        <w:t xml:space="preserve"> rankings</w:t>
      </w:r>
      <w:r>
        <w:t xml:space="preserve"> de avaliação empresarial.</w:t>
      </w:r>
    </w:p>
    <w:p w14:paraId="758EBACB" w14:textId="77777777" w:rsidR="00643609" w:rsidRDefault="000651AA">
      <w:pPr>
        <w:spacing w:after="0" w:line="360" w:lineRule="auto"/>
        <w:ind w:firstLine="709"/>
        <w:jc w:val="both"/>
      </w:pPr>
      <w:r>
        <w:t>Entretanto, ao comparar os resultados de maturidade ESG com o posicionamento das empresas no</w:t>
      </w:r>
      <w:r>
        <w:rPr>
          <w:i/>
        </w:rPr>
        <w:t xml:space="preserve"> ranking</w:t>
      </w:r>
      <w:r>
        <w:t xml:space="preserve"> Merco Responsabilidade ESG, percebe-se que ní</w:t>
      </w:r>
      <w:r>
        <w:t>veis mais elevados de maturidade nas práticas ESG não necessariamente correspondem, de forma direta, às melhores posições em reputação corporativa. Embora a C&amp;A tenha alcançado o mesmo nível de maturidade da Renner, conforme os critérios da ABNT PR 2030 (2</w:t>
      </w:r>
      <w:r>
        <w:t>022) a empresa ocupou posição inferior à da Riachuelo no ranking avaliado. Esse resultado sugere que a reputação corporativa é influenciada não apenas pelas práticas ESG desenvolvidas pelas organizações, mas também pela forma como essas ações são percebida</w:t>
      </w:r>
      <w:r>
        <w:t>s, comunicadas e reconhecidas pelos diferentes públicos de interesse.</w:t>
      </w:r>
    </w:p>
    <w:p w14:paraId="7FA0F8ED" w14:textId="77777777" w:rsidR="00643609" w:rsidRDefault="000651AA">
      <w:pPr>
        <w:spacing w:after="0" w:line="360" w:lineRule="auto"/>
        <w:ind w:firstLine="709"/>
        <w:jc w:val="both"/>
      </w:pPr>
      <w:r>
        <w:t>Como limitações da pesquisa, destaca-se que o estudo foi realizado com base em relatórios de sustentabilidade e informações disponibilizadas nos</w:t>
      </w:r>
      <w:r>
        <w:rPr>
          <w:i/>
        </w:rPr>
        <w:t xml:space="preserve"> sites</w:t>
      </w:r>
      <w:r>
        <w:t xml:space="preserve"> institucionais das empresas, não co</w:t>
      </w:r>
      <w:r>
        <w:t>ntemplando outros canais de comunicação relevantes, como as redes sociais corporativas. Considerando o amplo alcance e influência dessas plataformas na construção da percepção pública e na relação entre empresas e consumidores, entende-se que a ausência de</w:t>
      </w:r>
      <w:r>
        <w:t>ssa análise pode restringir uma compreensão mais aprofundada sobre como as práticas ESG divulgadas nos relatórios de sustentabilidade são comunicadas pelas empresas e como influenciam a percepção dos stakeholders e consolidação da reputação corporativa.</w:t>
      </w:r>
    </w:p>
    <w:p w14:paraId="5D7A8D9D" w14:textId="77777777" w:rsidR="00643609" w:rsidRDefault="000651AA">
      <w:pPr>
        <w:spacing w:after="0" w:line="360" w:lineRule="auto"/>
        <w:ind w:firstLine="709"/>
        <w:jc w:val="both"/>
      </w:pPr>
      <w:r>
        <w:t>De</w:t>
      </w:r>
      <w:r>
        <w:t>ssa forma, como sugestão para estudos futuros, recomenda-se a investigação de canais de comunicação das empresas varejistas como as redes sociais e a comparação destas com as informações presentes em seus relatórios de sustentabilidade, para o aprofundamen</w:t>
      </w:r>
      <w:r>
        <w:t>to da compreensão entre comunicação empresarial, percepção do consumidor e reputação corporativa. Além disso, sugere-se ainda a ampliação desse tipo de investigação para outras empresas e segmentos, contribuindo para o avanço das pesquisas sobre sustentabi</w:t>
      </w:r>
      <w:r>
        <w:t>lidade e ESG no campo da contabilidade e da gestão empresarial.</w:t>
      </w:r>
    </w:p>
    <w:p w14:paraId="4197A111" w14:textId="77777777" w:rsidR="00643609" w:rsidRDefault="000651AA">
      <w:pPr>
        <w:spacing w:after="0" w:line="360" w:lineRule="auto"/>
        <w:ind w:firstLine="709"/>
        <w:jc w:val="both"/>
      </w:pPr>
      <w:r>
        <w:lastRenderedPageBreak/>
        <w:t xml:space="preserve">No campo acadêmico, o estudo contribui para a literatura ao ampliar as discussões sobre ESG e reputação corporativa em um setor marcado por desafios socioambientais como o varejo de moda </w:t>
      </w:r>
      <w:r>
        <w:t>brasileiro, especialmente por meio da aplicação da ABNT PR 2030 (2022) como instrumento de análise da maturidade em relação aos critérios ESG. A pesquisa também contribui ao oferecer uma perspectiva comparativa entre as principais varejistas de moda listad</w:t>
      </w:r>
      <w:r>
        <w:t>as na B3, colaborando para futuras pesquisas sobre ESG, governança corporativa e reputação organizacional no contexto brasileiro.</w:t>
      </w:r>
    </w:p>
    <w:p w14:paraId="710AEBA1" w14:textId="77777777" w:rsidR="00643609" w:rsidRDefault="000651AA">
      <w:pPr>
        <w:spacing w:after="0" w:line="360" w:lineRule="auto"/>
        <w:ind w:firstLine="709"/>
        <w:jc w:val="both"/>
      </w:pPr>
      <w:r>
        <w:t>Por fim, conclui-se que a sustentabilidade e os princípios ESG representam pilares fundamentais para o desenvolvimento e reput</w:t>
      </w:r>
      <w:r>
        <w:t>ação de organizações mais alinhadas às demandas de um mercado cada vez mais orientado para o desenvolvimento sustentável.</w:t>
      </w:r>
    </w:p>
    <w:p w14:paraId="4AFE7341" w14:textId="77777777" w:rsidR="00643609" w:rsidRDefault="000651AA">
      <w:pPr>
        <w:keepNext/>
        <w:spacing w:before="360" w:after="240" w:line="240" w:lineRule="auto"/>
      </w:pPr>
      <w:r>
        <w:rPr>
          <w:b/>
        </w:rPr>
        <w:t>REFERÊNCIAS</w:t>
      </w:r>
    </w:p>
    <w:p w14:paraId="1E985085" w14:textId="77777777" w:rsidR="00643609" w:rsidRDefault="000651AA">
      <w:pPr>
        <w:spacing w:after="0" w:line="240" w:lineRule="auto"/>
        <w:jc w:val="both"/>
      </w:pPr>
      <w:r>
        <w:t>AMER, Abdelnaser M. Mohamed; AZIMLI, Asil; ADEDOKUN, Muri Wole. Earnings</w:t>
      </w:r>
    </w:p>
    <w:p w14:paraId="5455B1DE" w14:textId="77777777" w:rsidR="00643609" w:rsidRDefault="000651AA">
      <w:pPr>
        <w:spacing w:after="240" w:line="240" w:lineRule="auto"/>
      </w:pPr>
      <w:r>
        <w:t>management and IFRS adoption influence on corpora</w:t>
      </w:r>
      <w:r>
        <w:t>te sustainability performance: the moderating roles of institutional ownership and board independence.</w:t>
      </w:r>
      <w:r>
        <w:rPr>
          <w:b/>
        </w:rPr>
        <w:t xml:space="preserve"> Sustainability</w:t>
      </w:r>
      <w:r>
        <w:t>, [s. l.], v. 17, n. 17, art. 7981, 2025. DOI https://doi.org/10.3390/su17177981. Acesso em: 13 maio 2026.</w:t>
      </w:r>
    </w:p>
    <w:p w14:paraId="76956A49" w14:textId="77777777" w:rsidR="00643609" w:rsidRDefault="000651AA">
      <w:pPr>
        <w:spacing w:after="240" w:line="240" w:lineRule="auto"/>
      </w:pPr>
      <w:r>
        <w:t xml:space="preserve">ASSOCIAÇÃO BRASILEIRA DE NORMAS </w:t>
      </w:r>
      <w:r>
        <w:t>TÉCNICAS.</w:t>
      </w:r>
      <w:r>
        <w:rPr>
          <w:b/>
        </w:rPr>
        <w:t xml:space="preserve"> ABNT PR 2030</w:t>
      </w:r>
      <w:r>
        <w:t>: Ambiental, social e governança (ESG): conceitos, diretrizes e modelo de avaliação e direcionamento para organizações. Rio de Janeiro: ABNT, 2022.</w:t>
      </w:r>
    </w:p>
    <w:p w14:paraId="5D1B6E26" w14:textId="77777777" w:rsidR="00643609" w:rsidRDefault="000651AA">
      <w:pPr>
        <w:spacing w:after="240" w:line="240" w:lineRule="auto"/>
      </w:pPr>
      <w:r>
        <w:t>ALVES, Ricardo Ribeiro.</w:t>
      </w:r>
      <w:r>
        <w:rPr>
          <w:b/>
        </w:rPr>
        <w:t xml:space="preserve"> A força do ESG</w:t>
      </w:r>
      <w:r>
        <w:t>. Rio de Janeiro: Alta Livros, 2024.</w:t>
      </w:r>
      <w:r>
        <w:rPr>
          <w:i/>
        </w:rPr>
        <w:t xml:space="preserve"> E-book</w:t>
      </w:r>
      <w:r>
        <w:t>. ISB</w:t>
      </w:r>
      <w:r>
        <w:t>N 9788550824697. Disponível em: https://integrada.minhabiblioteca.com.br/reader/books/9788550824697/. Acesso em: 25 maio 2025.</w:t>
      </w:r>
    </w:p>
    <w:p w14:paraId="005D9CEC" w14:textId="77777777" w:rsidR="00643609" w:rsidRDefault="000651AA">
      <w:pPr>
        <w:spacing w:after="240" w:line="240" w:lineRule="auto"/>
      </w:pPr>
      <w:r>
        <w:t>BARBIERI, José Carlos; CAJAZEIRA, Jorge Emanuel Reis.</w:t>
      </w:r>
      <w:r>
        <w:rPr>
          <w:b/>
        </w:rPr>
        <w:t xml:space="preserve"> Responsabilidade social empresarial e empresa sustentável</w:t>
      </w:r>
      <w:r>
        <w:t>. 3. ed. Rio de Ja</w:t>
      </w:r>
      <w:r>
        <w:t>neiro: Saraiva, 2016.</w:t>
      </w:r>
      <w:r>
        <w:rPr>
          <w:i/>
        </w:rPr>
        <w:t xml:space="preserve"> E-book</w:t>
      </w:r>
      <w:r>
        <w:t>. ISBN 9788547208325. Disponível em: https://integrada.minhabiblioteca.com.br/reader/books/9788547208325/. Acesso em: 12 jun. 2025.</w:t>
      </w:r>
    </w:p>
    <w:p w14:paraId="2259B98A" w14:textId="77777777" w:rsidR="00643609" w:rsidRDefault="000651AA">
      <w:pPr>
        <w:spacing w:after="240" w:line="240" w:lineRule="auto"/>
      </w:pPr>
      <w:r>
        <w:t>BARDIN, Laurence.</w:t>
      </w:r>
      <w:r>
        <w:rPr>
          <w:b/>
        </w:rPr>
        <w:t xml:space="preserve"> Análise de conteúdo</w:t>
      </w:r>
      <w:r>
        <w:t>. São Paulo: Edições 70, 2011.</w:t>
      </w:r>
    </w:p>
    <w:p w14:paraId="672FB8A0" w14:textId="77777777" w:rsidR="00643609" w:rsidRDefault="000651AA">
      <w:pPr>
        <w:spacing w:after="240" w:line="240" w:lineRule="auto"/>
      </w:pPr>
      <w:r>
        <w:t>BELMONTE, Anna Luíza S.</w:t>
      </w:r>
      <w:r>
        <w:rPr>
          <w:b/>
        </w:rPr>
        <w:t xml:space="preserve"> #Sou</w:t>
      </w:r>
      <w:r>
        <w:rPr>
          <w:b/>
        </w:rPr>
        <w:t>sustentável</w:t>
      </w:r>
      <w:r>
        <w:t xml:space="preserve">: a reputação da marca nas mídias sociais a partir de um certificado ESG. 2024. 121 f. Dissertação (Mestrado em Comunicação) – Faculdade de Biblioteconomia e Comunicação, Universidade Federal do Rio Grande do Sul, Porto Alegre, 2024. Disponível </w:t>
      </w:r>
      <w:r>
        <w:t>em: https://lume.ufrgs.br/handle/10183/272373. Acesso em: 13 out 2026.</w:t>
      </w:r>
    </w:p>
    <w:p w14:paraId="2CCAC404" w14:textId="77777777" w:rsidR="00643609" w:rsidRDefault="000651AA">
      <w:pPr>
        <w:spacing w:after="240" w:line="240" w:lineRule="auto"/>
      </w:pPr>
      <w:r>
        <w:lastRenderedPageBreak/>
        <w:t>BORSATTO, Ana Luisa; BAGGIO, Daniel Knebel; BRUM, Argemiro Luís. Conceitos e definições do ESG: Environmental, social and corporate governance – no contexto evolutivo da sustentabilidad</w:t>
      </w:r>
      <w:r>
        <w:t>e.</w:t>
      </w:r>
      <w:r>
        <w:rPr>
          <w:b/>
        </w:rPr>
        <w:t xml:space="preserve"> Desenvolvimento em Questão</w:t>
      </w:r>
      <w:r>
        <w:t>, Ijuí, v. 21, n. 59, p. e13493, 2023. DOI https://doi.org/10.21527/2237-6453.2023.59.13493. Acesso em: 1 mar. 2025.</w:t>
      </w:r>
    </w:p>
    <w:p w14:paraId="79CEAAE3" w14:textId="77777777" w:rsidR="00643609" w:rsidRDefault="000651AA">
      <w:pPr>
        <w:spacing w:after="240" w:line="240" w:lineRule="auto"/>
      </w:pPr>
      <w:r>
        <w:t>C&amp;A MODAS S.A.</w:t>
      </w:r>
      <w:r>
        <w:rPr>
          <w:b/>
        </w:rPr>
        <w:t xml:space="preserve"> Nossa história</w:t>
      </w:r>
      <w:r>
        <w:t>. [S. l.: s. n., s. d.]. Disponível em: https://www.cea.com.br/Institucional/conh</w:t>
      </w:r>
      <w:r>
        <w:t>eca-a-cea. Acesso em: 24 mar. 2025.</w:t>
      </w:r>
    </w:p>
    <w:p w14:paraId="087EB3B7" w14:textId="77777777" w:rsidR="00643609" w:rsidRDefault="000651AA">
      <w:pPr>
        <w:spacing w:after="240" w:line="240" w:lineRule="auto"/>
      </w:pPr>
      <w:r>
        <w:t>C&amp;A MODAS S.A.</w:t>
      </w:r>
      <w:r>
        <w:rPr>
          <w:b/>
        </w:rPr>
        <w:t xml:space="preserve"> Relatório Integrado Anual 2024</w:t>
      </w:r>
      <w:r>
        <w:t>. [S. l.]: C&amp;A, 2024. Disponível em: https://sustentabilidade.cea.com.br/pt-br/Documents/C%26A_RA2024.pdf. Acesso em: 15 ago. 2025.</w:t>
      </w:r>
    </w:p>
    <w:p w14:paraId="7FC120A9" w14:textId="77777777" w:rsidR="00643609" w:rsidRDefault="000651AA">
      <w:pPr>
        <w:spacing w:after="240" w:line="240" w:lineRule="auto"/>
      </w:pPr>
      <w:r>
        <w:t>EXAME.</w:t>
      </w:r>
      <w:r>
        <w:rPr>
          <w:b/>
        </w:rPr>
        <w:t xml:space="preserve"> Lojas Renner S.A. é 1ª varejista do </w:t>
      </w:r>
      <w:r>
        <w:rPr>
          <w:b/>
        </w:rPr>
        <w:t>mundo a publicar dados financeiros sobre sustentabilidade</w:t>
      </w:r>
      <w:r>
        <w:t>. São Paulo, 2025. Disponível em: https://exame.com/negocios/lojas-renner-s-a-e-1a-varejista-do-mundo-a-publicar-dados-financeiros-sobre-sustentabilidade/. Acesso em: 13 maio 2026.</w:t>
      </w:r>
    </w:p>
    <w:p w14:paraId="2F0EE18A" w14:textId="77777777" w:rsidR="00643609" w:rsidRDefault="000651AA">
      <w:pPr>
        <w:spacing w:after="240" w:line="240" w:lineRule="auto"/>
      </w:pPr>
      <w:r>
        <w:t>FIOROT, Bruna Luch</w:t>
      </w:r>
      <w:r>
        <w:t>i; ALBUQUERQUE, Alessandra Lignani de Miranda Starling. A incompatibilidade da indústria fast-fashion e o mercado ESG.</w:t>
      </w:r>
      <w:r>
        <w:rPr>
          <w:b/>
        </w:rPr>
        <w:t xml:space="preserve"> Seminário Internacional Estado, Regulação e Transformação Digital</w:t>
      </w:r>
      <w:r>
        <w:t>, [s. l.], v. 1, n. 01, p. 207-225, 2022. Disponível em: https://periodi</w:t>
      </w:r>
      <w:r>
        <w:t>cos.univel.br/ojs/index.php/siert/article/view/221/159. Acesso em: 5 mar. 2025.</w:t>
      </w:r>
    </w:p>
    <w:p w14:paraId="68EF4592" w14:textId="77777777" w:rsidR="00643609" w:rsidRDefault="000651AA">
      <w:pPr>
        <w:spacing w:after="240" w:line="240" w:lineRule="auto"/>
      </w:pPr>
      <w:r>
        <w:t>GÁRGOLES SAES, P.; GRILEC, A.; SEJDINI, M. Study of Spanish brands on sustainability and reputation in the fashion sector.</w:t>
      </w:r>
      <w:r>
        <w:rPr>
          <w:b/>
        </w:rPr>
        <w:t xml:space="preserve"> Textile &amp; Leather Review</w:t>
      </w:r>
      <w:r>
        <w:t xml:space="preserve">, [s. l.], v. 5, p. </w:t>
      </w:r>
      <w:r>
        <w:t>31-52, 2022. DOI https://doi.org/10.31881/TLR.2021.33. Acesso em: 13 maio 2026.</w:t>
      </w:r>
    </w:p>
    <w:p w14:paraId="3E4CD518" w14:textId="77777777" w:rsidR="00643609" w:rsidRDefault="000651AA">
      <w:pPr>
        <w:spacing w:after="240" w:line="240" w:lineRule="auto"/>
      </w:pPr>
      <w:r>
        <w:t>GIL, Antonio Carlos.</w:t>
      </w:r>
      <w:r>
        <w:rPr>
          <w:b/>
        </w:rPr>
        <w:t xml:space="preserve"> Como elaborar projetos de pesquisa</w:t>
      </w:r>
      <w:r>
        <w:t>. 7. ed. Rio de Janeiro: Atlas, 2022.</w:t>
      </w:r>
      <w:r>
        <w:rPr>
          <w:i/>
        </w:rPr>
        <w:t xml:space="preserve"> E-book</w:t>
      </w:r>
      <w:r>
        <w:t>. ISBN 9786559771653. Disponível em: https://integrada.minhabiblioteca.com.br</w:t>
      </w:r>
      <w:r>
        <w:t>/reader/books/9786559771653/. Acesso em: 16 mar. 2025.</w:t>
      </w:r>
    </w:p>
    <w:p w14:paraId="2497D881" w14:textId="77777777" w:rsidR="00643609" w:rsidRDefault="000651AA">
      <w:pPr>
        <w:spacing w:after="240" w:line="240" w:lineRule="auto"/>
      </w:pPr>
      <w:r>
        <w:t>GIL, Antonio Carlos.</w:t>
      </w:r>
      <w:r>
        <w:rPr>
          <w:b/>
        </w:rPr>
        <w:t xml:space="preserve"> Métodos e técnicas de pesquisa social</w:t>
      </w:r>
      <w:r>
        <w:t>. 7. ed. Rio de Janeiro: Atlas, 2019.</w:t>
      </w:r>
      <w:r>
        <w:rPr>
          <w:i/>
        </w:rPr>
        <w:t xml:space="preserve"> E-book</w:t>
      </w:r>
      <w:r>
        <w:t>. ISBN 9788597020991. Disponível em: https://integrada.minhabiblioteca.com.br/reader/books/97885970</w:t>
      </w:r>
      <w:r>
        <w:t>20991/. Acesso em: 29 mar. 2025.</w:t>
      </w:r>
    </w:p>
    <w:p w14:paraId="70599E15" w14:textId="77777777" w:rsidR="00643609" w:rsidRDefault="000651AA">
      <w:pPr>
        <w:spacing w:after="240" w:line="240" w:lineRule="auto"/>
      </w:pPr>
      <w:r>
        <w:t>LINS, Luiz dos Santos.</w:t>
      </w:r>
      <w:r>
        <w:rPr>
          <w:b/>
        </w:rPr>
        <w:t xml:space="preserve"> Introdução à gestão ambiental empresarial</w:t>
      </w:r>
      <w:r>
        <w:t>: abordando economia, direito, contabilidade e auditoria. Rio de Janeiro: Atlas, 2015.</w:t>
      </w:r>
      <w:r>
        <w:rPr>
          <w:i/>
        </w:rPr>
        <w:t xml:space="preserve"> E-book</w:t>
      </w:r>
      <w:r>
        <w:t>. ISBN 9788597001082. Disponível em: https://integrada.minhabiblio</w:t>
      </w:r>
      <w:r>
        <w:t>teca.com.br/reader/books/9788597001082/. Acesso em: 23 mar. 2025.</w:t>
      </w:r>
    </w:p>
    <w:p w14:paraId="391287F0" w14:textId="77777777" w:rsidR="00643609" w:rsidRDefault="000651AA">
      <w:pPr>
        <w:spacing w:after="240" w:line="240" w:lineRule="auto"/>
      </w:pPr>
      <w:r>
        <w:t>LOJAS RENNER S.A.</w:t>
      </w:r>
      <w:r>
        <w:rPr>
          <w:b/>
        </w:rPr>
        <w:t xml:space="preserve"> Quem somos</w:t>
      </w:r>
      <w:r>
        <w:t>. [S. l.: s. n., s. d.]. Disponível em: https://www.lojasrennersa.com.br/nosso-ecossistema/quem-somos/. Acesso em: 24 mar. 2025.</w:t>
      </w:r>
    </w:p>
    <w:p w14:paraId="16F5C2DA" w14:textId="77777777" w:rsidR="00643609" w:rsidRDefault="000651AA">
      <w:pPr>
        <w:spacing w:after="240" w:line="240" w:lineRule="auto"/>
      </w:pPr>
      <w:r>
        <w:lastRenderedPageBreak/>
        <w:t>LOJAS RENNER S.A.</w:t>
      </w:r>
      <w:r>
        <w:rPr>
          <w:b/>
        </w:rPr>
        <w:t xml:space="preserve"> Relatório anual</w:t>
      </w:r>
      <w:r>
        <w:rPr>
          <w:b/>
        </w:rPr>
        <w:t xml:space="preserve"> 2024</w:t>
      </w:r>
      <w:r>
        <w:t>. [S. l.]: Lojas Renner, 2024. Disponível em: https://www.lojasrennersa.com.br/wp-content/uploads/2025/07/Relatorio-Anual-2024-LojasRenner.pdf. Acesso em: 15 ago. 2025.</w:t>
      </w:r>
    </w:p>
    <w:p w14:paraId="6D40F5AA" w14:textId="77777777" w:rsidR="00643609" w:rsidRDefault="000651AA">
      <w:pPr>
        <w:spacing w:after="240" w:line="240" w:lineRule="auto"/>
      </w:pPr>
      <w:r>
        <w:t>LOPES, Tarsila; BUSTI, Beatriz.</w:t>
      </w:r>
      <w:r>
        <w:rPr>
          <w:b/>
        </w:rPr>
        <w:t xml:space="preserve"> Norma PR 2030</w:t>
      </w:r>
      <w:r>
        <w:t>: o futuro do ESG que garante adaptab</w:t>
      </w:r>
      <w:r>
        <w:t>ilidade às empresas. [S. l.]: Protiviti, 2023. Disponível em: https://www.protiviti.com.br/conteudos/norma-pr-2030/. Acesso em: 11 mai. 2025.</w:t>
      </w:r>
    </w:p>
    <w:p w14:paraId="701D7E1B" w14:textId="77777777" w:rsidR="00643609" w:rsidRDefault="000651AA">
      <w:pPr>
        <w:spacing w:after="240" w:line="240" w:lineRule="auto"/>
      </w:pPr>
      <w:r>
        <w:t>MACEDO, P. de S.; ROCHA, P. S.; ROCHA, E. T.; TAVARES, G. F.; JUCÁ, M. N. O impacto do ESG no valor e custo de cap</w:t>
      </w:r>
      <w:r>
        <w:t>ital das empresas.</w:t>
      </w:r>
      <w:r>
        <w:rPr>
          <w:b/>
        </w:rPr>
        <w:t xml:space="preserve"> Contabilidade Gestão e Governança</w:t>
      </w:r>
      <w:r>
        <w:t>, Brasília, v. 25, n. 2, p. 159-175, 2022. DOI https://doi.org/10.51341/cgg.v25i2.2802. Acesso em: 3 mar. 2025.</w:t>
      </w:r>
    </w:p>
    <w:p w14:paraId="367BBBAF" w14:textId="77777777" w:rsidR="00643609" w:rsidRDefault="000651AA">
      <w:pPr>
        <w:spacing w:after="240" w:line="240" w:lineRule="auto"/>
      </w:pPr>
      <w:r>
        <w:t>MARTINS, Gilberto de Andrade; THEÓPHILO, Carlos Renato.</w:t>
      </w:r>
      <w:r>
        <w:rPr>
          <w:b/>
        </w:rPr>
        <w:t xml:space="preserve"> Metodologia da investigação científi</w:t>
      </w:r>
      <w:r>
        <w:rPr>
          <w:b/>
        </w:rPr>
        <w:t>ca para ciências sociais aplicadas</w:t>
      </w:r>
      <w:r>
        <w:t>. 3. ed. Rio de Janeiro: Atlas, 2016.</w:t>
      </w:r>
      <w:r>
        <w:rPr>
          <w:i/>
        </w:rPr>
        <w:t xml:space="preserve"> E-book</w:t>
      </w:r>
      <w:r>
        <w:t>. ISBN 9788597009088. Disponível em: https://integrada.minhabiblioteca.com.br/reader/books/9788597009088/. Acesso em: 2 abr. 2025. MERCO – MONITOR EMPRESARIAL DE REPUTAÇÃO CORPOR</w:t>
      </w:r>
      <w:r>
        <w:t>ATIVA.</w:t>
      </w:r>
      <w:r>
        <w:rPr>
          <w:b/>
        </w:rPr>
        <w:t xml:space="preserve"> O que é o Merco?</w:t>
      </w:r>
      <w:r>
        <w:t xml:space="preserve"> [S. l.: s. n., s. d.]. Disponível em: https://www.merco.info/br/que-es-merco. Acesso em: 8 mar. 2025.</w:t>
      </w:r>
    </w:p>
    <w:p w14:paraId="43DBF560" w14:textId="77777777" w:rsidR="00643609" w:rsidRDefault="000651AA">
      <w:pPr>
        <w:spacing w:after="240" w:line="240" w:lineRule="auto"/>
      </w:pPr>
      <w:r>
        <w:t>MIKHAILOVA, Irina. Sustentabilidade: evolução dos conceitos teóricos e os problemas da mensuração prática.</w:t>
      </w:r>
      <w:r>
        <w:rPr>
          <w:b/>
        </w:rPr>
        <w:t xml:space="preserve"> Economia e Desenvolvimento</w:t>
      </w:r>
      <w:r>
        <w:t>, Santa Maria, n. 16, p. 22-41, 2004. DOI https://doi.org/10.5902/141465093442. Acesso em: 4 maio 2025.</w:t>
      </w:r>
    </w:p>
    <w:p w14:paraId="686144AE" w14:textId="77777777" w:rsidR="00643609" w:rsidRDefault="000651AA">
      <w:pPr>
        <w:spacing w:after="240" w:line="240" w:lineRule="auto"/>
      </w:pPr>
      <w:r>
        <w:t>MOREIRA, Rafael da Silva; BRITO, Elói Jesus de; LIMA, Renato Abreu. A importância da contabilidade ambiental para as empresas</w:t>
      </w:r>
      <w:r>
        <w:t>.</w:t>
      </w:r>
      <w:r>
        <w:rPr>
          <w:b/>
        </w:rPr>
        <w:t xml:space="preserve"> Revista de Administração e Negócios da Amazônia</w:t>
      </w:r>
      <w:r>
        <w:t>, [s. l.], v. 12, n. 1, p. 60-77, 2020. Disponível em: https://periodicos.unir.br/index.php/rara/article/view/4775. Acesso em: 24 mar. 2025.</w:t>
      </w:r>
    </w:p>
    <w:p w14:paraId="7694BB1F" w14:textId="77777777" w:rsidR="00643609" w:rsidRDefault="000651AA">
      <w:pPr>
        <w:spacing w:after="240" w:line="240" w:lineRule="auto"/>
      </w:pPr>
      <w:r>
        <w:t>OLIARI, Reinaldo.</w:t>
      </w:r>
      <w:r>
        <w:rPr>
          <w:b/>
        </w:rPr>
        <w:t xml:space="preserve"> Entenda as normas IFRS S1 e IFRS S2</w:t>
      </w:r>
      <w:r>
        <w:t>. [S. l.]: De</w:t>
      </w:r>
      <w:r>
        <w:t>loitte Brasil, 2023. Disponível em: https://www.deloitte.com/br/pt/services/audit-assurance/perspectives/normas-sustentabilidade-fatores-climaticos.html. Acesso em: 7 maio 2026.</w:t>
      </w:r>
    </w:p>
    <w:p w14:paraId="42DB9464" w14:textId="77777777" w:rsidR="00643609" w:rsidRDefault="000651AA">
      <w:pPr>
        <w:spacing w:after="240" w:line="240" w:lineRule="auto"/>
      </w:pPr>
      <w:r>
        <w:t>PEREIRA, Carlo. O ESG é uma preocupação que está tirando seu sono?</w:t>
      </w:r>
      <w:r>
        <w:rPr>
          <w:b/>
        </w:rPr>
        <w:t xml:space="preserve"> Exame</w:t>
      </w:r>
      <w:r>
        <w:t xml:space="preserve">, [s. </w:t>
      </w:r>
      <w:r>
        <w:t>l.], 2020. Disponível em: https://exame.com/colunistas/carlo-pereira/esg-o-que-e-como-adotar-e-qual-e-a-relacao-com-a-sustentabilidade/. Acesso em: 18 abr. 2025.</w:t>
      </w:r>
    </w:p>
    <w:p w14:paraId="7CD88B2E" w14:textId="77777777" w:rsidR="00643609" w:rsidRDefault="000651AA">
      <w:pPr>
        <w:spacing w:after="240" w:line="240" w:lineRule="auto"/>
      </w:pPr>
      <w:r>
        <w:t>RAMÍREZ-BARREDO, B.; GUERRERO GLEZ-VALERIO, B. Responsabilidad social corporativa, criterios E</w:t>
      </w:r>
      <w:r>
        <w:t>SG y su comunicación en el sector textil español.</w:t>
      </w:r>
      <w:r>
        <w:rPr>
          <w:b/>
        </w:rPr>
        <w:t xml:space="preserve"> European Public &amp; Social Innovation Review</w:t>
      </w:r>
      <w:r>
        <w:t>, [s. l.], v. 9, p. 1-20, 2024. DOI https://doi.org/10.31637/epsir-2024-897. Acesso em: 13 out 2025.</w:t>
      </w:r>
    </w:p>
    <w:p w14:paraId="1A604F29" w14:textId="77777777" w:rsidR="00643609" w:rsidRDefault="000651AA">
      <w:pPr>
        <w:spacing w:after="240" w:line="240" w:lineRule="auto"/>
      </w:pPr>
      <w:r>
        <w:t>RIACHUELO S.A.</w:t>
      </w:r>
      <w:r>
        <w:rPr>
          <w:b/>
        </w:rPr>
        <w:t xml:space="preserve"> Nossa história</w:t>
      </w:r>
      <w:r>
        <w:t>. [S. l.: s. n., s. d.]. Disponíve</w:t>
      </w:r>
      <w:r>
        <w:t>l em: https://www.riachuelo.com.br/a-empresa. Acesso em: 24 mar. 2025.</w:t>
      </w:r>
    </w:p>
    <w:p w14:paraId="7BC99DA6" w14:textId="77777777" w:rsidR="00643609" w:rsidRDefault="000651AA">
      <w:pPr>
        <w:spacing w:after="240" w:line="240" w:lineRule="auto"/>
      </w:pPr>
      <w:r>
        <w:t>RIACHUELO S.A.</w:t>
      </w:r>
      <w:r>
        <w:rPr>
          <w:b/>
        </w:rPr>
        <w:t xml:space="preserve"> Relatório integrado 2024</w:t>
      </w:r>
      <w:r>
        <w:t>. [S. l.]: Riachuelo, 2024. Disponível em: https://relatointegrado.riachuelo.com.br/assets/pdf/RS_2024_Riachuelo.pdf. Acesso em: 15 ago. 2025.</w:t>
      </w:r>
    </w:p>
    <w:p w14:paraId="00B1EDA2" w14:textId="77777777" w:rsidR="00643609" w:rsidRDefault="000651AA">
      <w:pPr>
        <w:spacing w:after="240" w:line="240" w:lineRule="auto"/>
      </w:pPr>
      <w:r>
        <w:lastRenderedPageBreak/>
        <w:t>RIB</w:t>
      </w:r>
      <w:r>
        <w:t>EIRO, Maísa de Souza.</w:t>
      </w:r>
      <w:r>
        <w:rPr>
          <w:b/>
        </w:rPr>
        <w:t xml:space="preserve"> Contabilidade ambiental</w:t>
      </w:r>
      <w:r>
        <w:t>. 2. ed. Rio de Janeiro: Saraiva, 2012.</w:t>
      </w:r>
      <w:r>
        <w:rPr>
          <w:i/>
        </w:rPr>
        <w:t xml:space="preserve"> E-book</w:t>
      </w:r>
      <w:r>
        <w:t>. ISBN 9788502108837. Disponível em: https://integrada.minhabiblioteca.com.br/reader/books/9788502108837/. Acesso em: 22 mar. 2025.</w:t>
      </w:r>
    </w:p>
    <w:p w14:paraId="44F60AEF" w14:textId="77777777" w:rsidR="00643609" w:rsidRDefault="000651AA">
      <w:pPr>
        <w:spacing w:after="240" w:line="240" w:lineRule="auto"/>
      </w:pPr>
      <w:r>
        <w:t>ROJAS-DE-GRACIA, M. M.; MUÑOZ, M.</w:t>
      </w:r>
      <w:r>
        <w:t xml:space="preserve"> M.; GOMAR-LOMEÑA, J. Análisis de reputación empresarial y de engagement en Instagram: una mirada comparativa a través de rankings.</w:t>
      </w:r>
      <w:r>
        <w:rPr>
          <w:b/>
        </w:rPr>
        <w:t xml:space="preserve"> Recta</w:t>
      </w:r>
      <w:r>
        <w:t>, [s. l.], v. 24, n. 1, art. e04, 2023. DOI https://doi.org/10.24309/recta.2023.24.1.04. Acesso em: 13 out 2026.</w:t>
      </w:r>
    </w:p>
    <w:p w14:paraId="2E0E5DAD" w14:textId="77777777" w:rsidR="00643609" w:rsidRDefault="000651AA">
      <w:pPr>
        <w:spacing w:after="240" w:line="240" w:lineRule="auto"/>
      </w:pPr>
      <w:r>
        <w:t>SANMIGUEL, P.; PÉREZ-BOU, S.; SÁDABA, T.; MIR-BERNAL, P. How to communicate sustainability: from the corporate web to e-commerce: the case of the fashion industry.</w:t>
      </w:r>
      <w:r>
        <w:rPr>
          <w:b/>
        </w:rPr>
        <w:t xml:space="preserve"> Sustainability</w:t>
      </w:r>
      <w:r>
        <w:t>, [s. l.], v. 13, n. 20, art. 11363, 2021. DOI https://doi.org/10.3390/su13201</w:t>
      </w:r>
      <w:r>
        <w:t>1363. Acesso em: 13 nov 2026.</w:t>
      </w:r>
    </w:p>
    <w:p w14:paraId="782C7589" w14:textId="77777777" w:rsidR="00643609" w:rsidRDefault="000651AA">
      <w:pPr>
        <w:spacing w:after="240" w:line="240" w:lineRule="auto"/>
      </w:pPr>
      <w:r>
        <w:t>SACHS, Ignacy.</w:t>
      </w:r>
      <w:r>
        <w:rPr>
          <w:b/>
        </w:rPr>
        <w:t xml:space="preserve"> Caminhos para o desenvolvimento sustentável</w:t>
      </w:r>
      <w:r>
        <w:t>. Rio de Janeiro: Garamond, 2002. SANTOS, Flávio Pereira dos; OLIVEIRA, Ana Paula Monteiro de; IZIDORO, Jucicleia Teodoro de Lima. RELATÓRIOS DE SUSTENTABILIDADE E ESG:</w:t>
      </w:r>
      <w:r>
        <w:t xml:space="preserve"> a integração da contabilidade ambiental.</w:t>
      </w:r>
      <w:r>
        <w:rPr>
          <w:b/>
        </w:rPr>
        <w:t xml:space="preserve"> ERR01</w:t>
      </w:r>
      <w:r>
        <w:t>, [s. l.], v. 10, n. 4, p. e8079, 2025. DOI https://doi.org/10.56238/ERR01v10n4-010. Acesso em: 13 jan 2026. SANTOS, Élcio Henrique dos; SILVA, Mirela Auxiliadora da. Sustentabilidade empresarial: um novo mode</w:t>
      </w:r>
      <w:r>
        <w:t>lo de negócio.</w:t>
      </w:r>
      <w:r>
        <w:rPr>
          <w:b/>
        </w:rPr>
        <w:t xml:space="preserve"> Revista Ciência Contemporânea</w:t>
      </w:r>
      <w:r>
        <w:t>, [s. l.], v. 2, n. 1, p. 75-94, 2017. Disponível em: https://uniesp.edu.br/sites/_biblioteca/revistas/20180301124814.pdf. Acesso em: 15 maio 2025.</w:t>
      </w:r>
    </w:p>
    <w:p w14:paraId="5CA5F1BE" w14:textId="77777777" w:rsidR="00643609" w:rsidRDefault="000651AA">
      <w:pPr>
        <w:spacing w:after="240" w:line="240" w:lineRule="auto"/>
      </w:pPr>
      <w:r>
        <w:t>SIEBERT, Fernanda; GONÇALVES, Juliano Costa; MORAES, Clauciana S</w:t>
      </w:r>
      <w:r>
        <w:t>chmidt Bueno de. A política de comunicação no setor têxtil: uma análise dos relatórios de sustentabilidade.</w:t>
      </w:r>
      <w:r>
        <w:rPr>
          <w:b/>
        </w:rPr>
        <w:t xml:space="preserve"> Aracê</w:t>
      </w:r>
      <w:r>
        <w:t>, [s. l.], v. 6, n. 4, p. 12748-12762, 2024. DOI https://doi.org/10.56238/arev6n4-109. Acesso em: 12 maio 2025.</w:t>
      </w:r>
    </w:p>
    <w:p w14:paraId="6537F24B" w14:textId="77777777" w:rsidR="00643609" w:rsidRDefault="000651AA">
      <w:pPr>
        <w:spacing w:after="240" w:line="240" w:lineRule="auto"/>
      </w:pPr>
      <w:r>
        <w:t>SILVA, Jancielle Sousa; FERREIR</w:t>
      </w:r>
      <w:r>
        <w:t>A, Antonio das Graças Alves. Contabilidade ambiental, sustentabilidade e responsabilidade social: o papel da contabilidade ambiental nas empresas privadas de grande porte na cidade de São Luís – MA.</w:t>
      </w:r>
      <w:r>
        <w:rPr>
          <w:b/>
        </w:rPr>
        <w:t xml:space="preserve"> Encontro de Saberes Multidisciplinares</w:t>
      </w:r>
      <w:r>
        <w:t>, [s. l.], v. 2, n.</w:t>
      </w:r>
      <w:r>
        <w:t xml:space="preserve"> 1, p. e22, 2024. Disponível em: https://facamencontrosaberes.com.br/index.php/esm/article/view/22. Acesso em: 23 mar. 2025.</w:t>
      </w:r>
    </w:p>
    <w:p w14:paraId="2E571325" w14:textId="77777777" w:rsidR="00643609" w:rsidRDefault="000651AA">
      <w:pPr>
        <w:spacing w:after="240" w:line="240" w:lineRule="auto"/>
      </w:pPr>
      <w:r>
        <w:t>SITNIKOV, Catalina Soriana. Triple Bottom Line.</w:t>
      </w:r>
      <w:r>
        <w:rPr>
          <w:i/>
        </w:rPr>
        <w:t xml:space="preserve"> In</w:t>
      </w:r>
      <w:r>
        <w:t>: IDOWU, Samuel O.</w:t>
      </w:r>
      <w:r>
        <w:rPr>
          <w:i/>
        </w:rPr>
        <w:t xml:space="preserve"> et al</w:t>
      </w:r>
      <w:r>
        <w:t>.</w:t>
      </w:r>
      <w:r>
        <w:rPr>
          <w:b/>
        </w:rPr>
        <w:t xml:space="preserve"> Encyclopedia of Corporate Social Responsibility</w:t>
      </w:r>
      <w:r>
        <w:t>. Berlin</w:t>
      </w:r>
      <w:r>
        <w:t>: Springer, 2013. p. 2558-2564. DOI https://doi.org/10.1007/978-3-642-28036-8_465. Acesso em: 15 abr. 2025.</w:t>
      </w:r>
    </w:p>
    <w:p w14:paraId="5D863B7F" w14:textId="77777777" w:rsidR="00643609" w:rsidRDefault="000651AA">
      <w:pPr>
        <w:spacing w:after="240" w:line="240" w:lineRule="auto"/>
      </w:pPr>
      <w:r>
        <w:t>TACHIZAWA, Takeshy; ANDRADE, Rui.</w:t>
      </w:r>
      <w:r>
        <w:rPr>
          <w:b/>
        </w:rPr>
        <w:t xml:space="preserve"> Gestão socioambiental</w:t>
      </w:r>
      <w:r>
        <w:t>. 2. ed. Rio de Janeiro: Atlas, 2011.</w:t>
      </w:r>
      <w:r>
        <w:rPr>
          <w:i/>
        </w:rPr>
        <w:t xml:space="preserve"> E-book</w:t>
      </w:r>
      <w:r>
        <w:t>. ISBN 9788595156401. Disponível em: https://inte</w:t>
      </w:r>
      <w:r>
        <w:t>grada.minhabiblioteca.com.br/reader/books/9788595156401/. Acesso em: 12 jun. 2025.</w:t>
      </w:r>
    </w:p>
    <w:p w14:paraId="01A554CD" w14:textId="77777777" w:rsidR="00643609" w:rsidRDefault="000651AA">
      <w:pPr>
        <w:spacing w:after="240" w:line="240" w:lineRule="auto"/>
      </w:pPr>
      <w:r>
        <w:t>TOTVS.</w:t>
      </w:r>
      <w:r>
        <w:rPr>
          <w:b/>
        </w:rPr>
        <w:t xml:space="preserve"> IFRS S1 e S2</w:t>
      </w:r>
      <w:r>
        <w:t>: conheça as normas globais de sustentabilidade. [S. l.]: TOTVS, 2026. Disponível em: https://www.totvs.com.br/blog/negocios/ifrs-s1-e-s2/. Acesso em: 7 m</w:t>
      </w:r>
      <w:r>
        <w:t>aio 2026.</w:t>
      </w:r>
    </w:p>
    <w:p w14:paraId="3EB2F1E6" w14:textId="77777777" w:rsidR="00643609" w:rsidRDefault="000651AA">
      <w:pPr>
        <w:spacing w:after="240" w:line="240" w:lineRule="auto"/>
      </w:pPr>
      <w:r>
        <w:lastRenderedPageBreak/>
        <w:t>VY, P. N. T.; THANH, P. T. The impact of corporate social responsibility on corporate reputation and brand satisfaction: evidence from fashion industry.</w:t>
      </w:r>
      <w:r>
        <w:rPr>
          <w:i/>
        </w:rPr>
        <w:t xml:space="preserve"> In</w:t>
      </w:r>
      <w:r>
        <w:t>: KOT, S.; KHALID, B.; HAQUE, A. ul (ed.).</w:t>
      </w:r>
      <w:r>
        <w:rPr>
          <w:b/>
        </w:rPr>
        <w:t xml:space="preserve"> New challenges of the global economy for busines</w:t>
      </w:r>
      <w:r>
        <w:rPr>
          <w:b/>
        </w:rPr>
        <w:t>s management</w:t>
      </w:r>
      <w:r>
        <w:t>. Singapore: Springer, 2025. p. 1187-1205. DOI https://doi.org/10.1007/978-981-96-4116-1_90. Acesso em: 24 nov 2025.</w:t>
      </w:r>
      <w:bookmarkStart w:id="7" w:name="art4_fim"/>
      <w:bookmarkEnd w:id="7"/>
    </w:p>
    <w:p w14:paraId="71F6CB96" w14:textId="77777777" w:rsidR="00643609" w:rsidRDefault="00643609">
      <w:pPr>
        <w:sectPr w:rsidR="00643609">
          <w:headerReference w:type="default" r:id="rId29"/>
          <w:footerReference w:type="default" r:id="rId30"/>
          <w:footnotePr>
            <w:numRestart w:val="eachSect"/>
          </w:footnotePr>
          <w:pgSz w:w="11906" w:h="16838"/>
          <w:pgMar w:top="1701" w:right="1134" w:bottom="1134" w:left="1701" w:header="709" w:footer="567" w:gutter="0"/>
          <w:cols w:space="720"/>
          <w:docGrid w:linePitch="360"/>
        </w:sectPr>
      </w:pPr>
    </w:p>
    <w:p w14:paraId="23ED264A" w14:textId="77777777" w:rsidR="00643609" w:rsidRDefault="000651AA">
      <w:pPr>
        <w:keepNext/>
        <w:spacing w:before="120" w:after="120"/>
        <w:jc w:val="center"/>
      </w:pPr>
      <w:bookmarkStart w:id="8" w:name="art5_ini"/>
      <w:bookmarkEnd w:id="8"/>
      <w:r>
        <w:rPr>
          <w:noProof/>
        </w:rPr>
        <w:lastRenderedPageBreak/>
        <w:drawing>
          <wp:inline distT="0" distB="0" distL="0" distR="0" wp14:anchorId="6C56C853" wp14:editId="58500B77">
            <wp:extent cx="5753100" cy="858399"/>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_img0.png"/>
                    <pic:cNvPicPr/>
                  </pic:nvPicPr>
                  <pic:blipFill>
                    <a:blip r:embed="rId8"/>
                    <a:stretch>
                      <a:fillRect/>
                    </a:stretch>
                  </pic:blipFill>
                  <pic:spPr>
                    <a:xfrm>
                      <a:off x="0" y="0"/>
                      <a:ext cx="5753100" cy="858399"/>
                    </a:xfrm>
                    <a:prstGeom prst="rect">
                      <a:avLst/>
                    </a:prstGeom>
                  </pic:spPr>
                </pic:pic>
              </a:graphicData>
            </a:graphic>
          </wp:inline>
        </w:drawing>
      </w:r>
    </w:p>
    <w:p w14:paraId="5BE2B4D4" w14:textId="77777777" w:rsidR="00643609" w:rsidRDefault="000651AA">
      <w:pPr>
        <w:spacing w:before="360" w:after="0" w:line="240" w:lineRule="auto"/>
        <w:jc w:val="center"/>
      </w:pPr>
      <w:r>
        <w:rPr>
          <w:b/>
        </w:rPr>
        <w:t xml:space="preserve">SUCESSÃO NÃO PLANEJADA EM ESCRITÓRIO CONTÁBIL FAMILIAR: DESAFIOS E REORGANIZAÇÃO DOS PROCESSOS </w:t>
      </w:r>
      <w:r>
        <w:rPr>
          <w:b/>
        </w:rPr>
        <w:t>INTERNOS</w:t>
      </w:r>
    </w:p>
    <w:p w14:paraId="234021F4" w14:textId="77777777" w:rsidR="00643609" w:rsidRDefault="000651AA">
      <w:pPr>
        <w:spacing w:after="0" w:line="240" w:lineRule="auto"/>
        <w:jc w:val="right"/>
      </w:pPr>
      <w:r>
        <w:t>Ana Beatriz Pombo Ferreira Faria</w:t>
      </w:r>
      <w:r>
        <w:rPr>
          <w:vertAlign w:val="superscript"/>
        </w:rPr>
        <w:footnoteReference w:id="16"/>
      </w:r>
    </w:p>
    <w:p w14:paraId="6E63478F" w14:textId="77777777" w:rsidR="00643609" w:rsidRDefault="000651AA">
      <w:pPr>
        <w:spacing w:after="0" w:line="240" w:lineRule="auto"/>
        <w:jc w:val="right"/>
      </w:pPr>
      <w:r>
        <w:t>Rodrigo Ferraz de Almeida</w:t>
      </w:r>
      <w:r>
        <w:rPr>
          <w:vertAlign w:val="superscript"/>
        </w:rPr>
        <w:footnoteReference w:id="17"/>
      </w:r>
    </w:p>
    <w:p w14:paraId="71BD2272" w14:textId="77777777" w:rsidR="00643609" w:rsidRDefault="000651AA">
      <w:pPr>
        <w:keepNext/>
        <w:spacing w:before="360" w:after="240" w:line="240" w:lineRule="auto"/>
      </w:pPr>
      <w:r>
        <w:rPr>
          <w:b/>
        </w:rPr>
        <w:t>RESUMO</w:t>
      </w:r>
    </w:p>
    <w:p w14:paraId="7FDF6606" w14:textId="77777777" w:rsidR="00643609" w:rsidRDefault="000651AA">
      <w:pPr>
        <w:spacing w:after="240" w:line="240" w:lineRule="auto"/>
        <w:jc w:val="both"/>
      </w:pPr>
      <w:r>
        <w:t xml:space="preserve">Os escritórios de contabilidade familiar desempenham papel relevante no suporte a pequenas e médias empresas, atendendo às exigências fiscais, contábeis e </w:t>
      </w:r>
      <w:r>
        <w:t>trabalhistas. Com frequência, esses escritórios são estruturados em torno de um gestor central, geralmente o fundador, que concentra o conhecimento técnico e as principais decisões estratégicas. Nesse contexto, o presente estudo relata o processo de adapta</w:t>
      </w:r>
      <w:r>
        <w:t>ção de um escritório familiar de contabilidade após a sucessão não planejada. Metodologicamente, trata-se de um estudo de caso que examina a experiência de um escritório de pequeno porte, sendo uma pesquisa qualitativa, com base em entrevistas informais, a</w:t>
      </w:r>
      <w:r>
        <w:t>nálise documental, observação participante das práticas internas e com característica autoetnográfico. Conclui-se que a adaptação da empresa à nova liderança, embora desafiadora, foi possível mediante esforço conjunto de reorganização estrutural, desenvolv</w:t>
      </w:r>
      <w:r>
        <w:t>imento de competências e profissionalização da gestão. A pesquisa reforça a importância da sucessão planejada em empresas familiares, da descentralização da gestão e da adoção de práticas administrativas modernas como estratégias para garantir a continuida</w:t>
      </w:r>
      <w:r>
        <w:t>de e o crescimento sustentável do negócio. Esses aprendizados podem servir de referência para outras pequenas empresas em processos semelhantes de transição e transformação.</w:t>
      </w:r>
    </w:p>
    <w:p w14:paraId="3859E2B3" w14:textId="77777777" w:rsidR="00643609" w:rsidRDefault="000651AA">
      <w:pPr>
        <w:spacing w:before="240" w:after="240" w:line="240" w:lineRule="auto"/>
        <w:jc w:val="both"/>
      </w:pPr>
      <w:r>
        <w:rPr>
          <w:b/>
        </w:rPr>
        <w:t>Palavras-chave:</w:t>
      </w:r>
      <w:r>
        <w:t xml:space="preserve"> Escritório de Contabilidade Familiar; Sucessão Empresarial; Gestão</w:t>
      </w:r>
      <w:r>
        <w:t xml:space="preserve"> Contábil; Organização dos Processos; Pequenas Empresas.</w:t>
      </w:r>
    </w:p>
    <w:p w14:paraId="6B5AC3DE" w14:textId="77777777" w:rsidR="00643609" w:rsidRDefault="000651AA">
      <w:pPr>
        <w:keepNext/>
        <w:spacing w:before="360" w:after="240" w:line="240" w:lineRule="auto"/>
      </w:pPr>
      <w:r>
        <w:rPr>
          <w:b/>
        </w:rPr>
        <w:t>ABSTRACT</w:t>
      </w:r>
    </w:p>
    <w:p w14:paraId="1419097F" w14:textId="77777777" w:rsidR="00643609" w:rsidRDefault="000651AA">
      <w:pPr>
        <w:spacing w:after="240" w:line="240" w:lineRule="auto"/>
        <w:jc w:val="both"/>
      </w:pPr>
      <w:r>
        <w:t>Family-owned accounting firms play a significant role in supporting small and medium-sized enterprises by meeting tax, accounting, and labor compliance requirements. These firms are often st</w:t>
      </w:r>
      <w:r>
        <w:t>ructured around a central manager—typically the founder— who holds the technical expertise and makes key strategic decisions. Against this backdrop, this study documents the adaptation process of a family-owned accounting firm following an unplanned succes</w:t>
      </w:r>
      <w:r>
        <w:t xml:space="preserve">sion. Methodologically, this is a qualitative case study examining the experience of a small firm; it draws on informal interviews, document analysis, and participant observation of internal practices, </w:t>
      </w:r>
      <w:r>
        <w:lastRenderedPageBreak/>
        <w:t xml:space="preserve">incorporating an autoethnographic approach. The study </w:t>
      </w:r>
      <w:r>
        <w:t>concludes that the firm's adaptation to new leadership, while challenging, was achieved through a concerted effort involving structural reorganization, competency development, and the professionalization of management. The research underscores the importan</w:t>
      </w:r>
      <w:r>
        <w:t>ce of planned succession in family businesses, management decentralization, and the adoption of modern administrative practices as strategies to ensure business continuity and sustainable growth. These insights can serve as a reference for other small busi</w:t>
      </w:r>
      <w:r>
        <w:t>nesses undergoing similar processes of transition and transformation.</w:t>
      </w:r>
    </w:p>
    <w:p w14:paraId="1F8E0BB4" w14:textId="77777777" w:rsidR="00643609" w:rsidRDefault="000651AA">
      <w:pPr>
        <w:spacing w:before="240" w:after="240" w:line="240" w:lineRule="auto"/>
        <w:jc w:val="both"/>
      </w:pPr>
      <w:r>
        <w:rPr>
          <w:b/>
        </w:rPr>
        <w:t>Keywords:</w:t>
      </w:r>
      <w:r>
        <w:t xml:space="preserve"> Family Accounting Office; Business Succession; Accounting Management; Process Organization; Small Businesses.</w:t>
      </w:r>
    </w:p>
    <w:p w14:paraId="2763C592" w14:textId="77777777" w:rsidR="00643609" w:rsidRDefault="000651AA">
      <w:pPr>
        <w:keepNext/>
        <w:spacing w:before="360" w:after="240" w:line="360" w:lineRule="auto"/>
      </w:pPr>
      <w:r>
        <w:rPr>
          <w:b/>
        </w:rPr>
        <w:t>1 INTRODUÇÃO</w:t>
      </w:r>
    </w:p>
    <w:p w14:paraId="399F28F6" w14:textId="77777777" w:rsidR="00643609" w:rsidRDefault="000651AA">
      <w:pPr>
        <w:spacing w:after="0" w:line="360" w:lineRule="auto"/>
        <w:ind w:firstLine="709"/>
        <w:jc w:val="both"/>
      </w:pPr>
      <w:r>
        <w:t xml:space="preserve">Os escritórios de contabilidade familiar desempenham </w:t>
      </w:r>
      <w:r>
        <w:t>um papel no suporte a pequenas e médias empresas, atendendo às exigências fiscais, contábeis e trabalhistas. Com frequência, esses escritórios são estruturados em torno de um gestor central, geralmente o fundador, que concentra em si o conhecimento técnico</w:t>
      </w:r>
      <w:r>
        <w:t xml:space="preserve"> e as principais decisões estratégicas. Essa centralização, embora eficiente em curto prazo, pode gerar vulnerabilidades, especialmente em situações de transição, como é o caso do estudo.</w:t>
      </w:r>
    </w:p>
    <w:p w14:paraId="29F344AD" w14:textId="77777777" w:rsidR="00643609" w:rsidRDefault="000651AA">
      <w:pPr>
        <w:spacing w:after="0" w:line="360" w:lineRule="auto"/>
        <w:ind w:firstLine="709"/>
        <w:jc w:val="both"/>
      </w:pPr>
      <w:r>
        <w:t>A continuidade do negócio torna-se desafiadora, demandando dos suces</w:t>
      </w:r>
      <w:r>
        <w:t>sores habilidades organizacionais e gerenciais que nem sempre foram previamente desenvolvidas (CHAVES, 2020). Nesse contexto, o presente estudo busca analisar as transformações e adaptações enfrentadas por um escritório familiar de contabilidade após o fal</w:t>
      </w:r>
      <w:r>
        <w:t>ecimento de seu fundador, que centralizava todas as informações e decisões operacionais.</w:t>
      </w:r>
    </w:p>
    <w:p w14:paraId="749E7C7B" w14:textId="77777777" w:rsidR="00643609" w:rsidRDefault="000651AA">
      <w:pPr>
        <w:spacing w:after="0" w:line="360" w:lineRule="auto"/>
        <w:ind w:firstLine="709"/>
        <w:jc w:val="both"/>
      </w:pPr>
      <w:r>
        <w:t>A ausência de um planejamento sucessório formal resultou em uma transição abrupta, na qual os familiares assumiram a responsabilidade pela gestão do escritório, inclui</w:t>
      </w:r>
      <w:r>
        <w:t>ndo as funções dos departamentos pessoal, contábil e fiscal. Diante dessa realidade, tem-se como objetivo geral da pesquisa, relatar o processo de adaptação de um escritório familiar de contabilidade após a sucessão não planejada.</w:t>
      </w:r>
    </w:p>
    <w:p w14:paraId="7F1A8081" w14:textId="77777777" w:rsidR="00643609" w:rsidRDefault="000651AA">
      <w:pPr>
        <w:spacing w:after="0" w:line="360" w:lineRule="auto"/>
        <w:ind w:firstLine="709"/>
        <w:jc w:val="both"/>
      </w:pPr>
      <w:r>
        <w:t xml:space="preserve">Os objetivos específicos </w:t>
      </w:r>
      <w:r>
        <w:t>incluem identificar os principais impactos da centralização de informações na transição de liderança, descrever as estratégias adotadas pela família para reorganizar os processos internos e discutir a importância da qualificação e organização para a susten</w:t>
      </w:r>
      <w:r>
        <w:t xml:space="preserve">tabilidade do negócio. A justificativa para a realização deste trabalho reside na relevância de compreender os desafios e as estratégias de adaptação em escritórios de contabilidade familiar, uma vez que </w:t>
      </w:r>
      <w:r>
        <w:lastRenderedPageBreak/>
        <w:t xml:space="preserve">esses negócios são frequentemente essenciais para o </w:t>
      </w:r>
      <w:r>
        <w:t>funcionamento de outras empresas e impactam diretamente o mercado local.</w:t>
      </w:r>
    </w:p>
    <w:p w14:paraId="36C0BE97" w14:textId="77777777" w:rsidR="00643609" w:rsidRDefault="000651AA">
      <w:pPr>
        <w:spacing w:after="0" w:line="360" w:lineRule="auto"/>
        <w:ind w:firstLine="709"/>
        <w:jc w:val="both"/>
      </w:pPr>
      <w:r>
        <w:t>Além disso, este estudo contribui para o debate sobre gestão, sucessão empresarial e planejamento estratégico, áreas ainda pouco exploradas no âmbito da contabilidade familiar. Metodo</w:t>
      </w:r>
      <w:r>
        <w:t>logicamente, o trabalho adota um estudo de caso, analisando a experiência de um escritório de pequeno porte, com base em entrevistas, análise documental e observação das práticas internas. A abordagem qualitativa permitirá explorar, em profundidade, as est</w:t>
      </w:r>
      <w:r>
        <w:t>ratégias de adaptação, bem como as dificuldades enfrentadas na reorganização dos departamentos e na manutenção do relacionamento com os clientes.</w:t>
      </w:r>
    </w:p>
    <w:p w14:paraId="1B5C65B9" w14:textId="77777777" w:rsidR="00643609" w:rsidRDefault="000651AA">
      <w:pPr>
        <w:spacing w:after="0" w:line="360" w:lineRule="auto"/>
        <w:ind w:firstLine="709"/>
        <w:jc w:val="both"/>
      </w:pPr>
      <w:r>
        <w:t xml:space="preserve">Essa investigação busca, portanto, não apenas compreender o processo de transição vivenciado pelo escritório, </w:t>
      </w:r>
      <w:r>
        <w:t>mas também oferecer contribuições práticas e teóricas para a gestão contábil familiar, destacando a importância do planejamento, da organização e da resiliência para a continuidade e crescimento do negócio. A motivação para esta pesquisa surge da necessida</w:t>
      </w:r>
      <w:r>
        <w:t>de premente de compreender os desafios enfrentados por escritórios de contabilidade familiar durante processos de sucessão empresarial, especialmente quando ocorrem de forma abrupta, como no caso da morte do fundador.</w:t>
      </w:r>
    </w:p>
    <w:p w14:paraId="42B72CE5" w14:textId="77777777" w:rsidR="00643609" w:rsidRDefault="000651AA">
      <w:pPr>
        <w:spacing w:after="0" w:line="360" w:lineRule="auto"/>
        <w:ind w:firstLine="709"/>
        <w:jc w:val="both"/>
      </w:pPr>
      <w:r>
        <w:t>No contexto brasileiro, onde aproximad</w:t>
      </w:r>
      <w:r>
        <w:t>amente 90% das empresas possuem perfil familiar e respondem por mais da metade do PIB nacional, segundo dados do IBGE, a continuidade desses negócios é vital para a economia. Entretanto, estudos indicam que apenas 30% dessas empresas chegam à terceira gera</w:t>
      </w:r>
      <w:r>
        <w:t>ção, e menos de 15% sobrevivem além dela (CHAVES, 2020).</w:t>
      </w:r>
    </w:p>
    <w:p w14:paraId="084219FF" w14:textId="77777777" w:rsidR="00643609" w:rsidRDefault="000651AA">
      <w:pPr>
        <w:spacing w:after="0" w:line="360" w:lineRule="auto"/>
        <w:ind w:firstLine="709"/>
        <w:jc w:val="both"/>
      </w:pPr>
      <w:r>
        <w:t>A centralização da gestão é uma característica recorrente em empresas familiares, onde o fundador acumula funções estratégicas e operacionais. Essa concentração de poder pode comprometer a eficiência</w:t>
      </w:r>
      <w:r>
        <w:t xml:space="preserve"> organizacional e dificultar a transição para novos líderes. A pesquisa realizada pela Universidade Metodista de São Paulo destaca que a centralização excessiva do poder compromete o desempenho de pequenas empresas familiares, evidenciando a necessidade de</w:t>
      </w:r>
      <w:r>
        <w:t xml:space="preserve"> práticas de gestão mais descentralizadas (COSTA; RIBEIRO, 2022).</w:t>
      </w:r>
    </w:p>
    <w:p w14:paraId="6AEC0614" w14:textId="77777777" w:rsidR="00643609" w:rsidRDefault="000651AA">
      <w:pPr>
        <w:spacing w:after="0" w:line="360" w:lineRule="auto"/>
        <w:ind w:firstLine="709"/>
        <w:jc w:val="both"/>
      </w:pPr>
      <w:r>
        <w:t>Além disso, a falta de planejamento sucessório é um fator crítico que contribui para a alta taxa de mortalidade dessas empresas. O estudo de Petry e Nascimento (2009) revela que muitas empre</w:t>
      </w:r>
      <w:r>
        <w:t xml:space="preserve">sas familiares não incluem a sucessão em seu planejamento estratégico, o que pode resultar em descontinuidade dos negócios </w:t>
      </w:r>
      <w:r>
        <w:lastRenderedPageBreak/>
        <w:t>após a saída do fundador. A importância da contabilidade gerencial na gestão de micro e pequenas empresas também é um aspecto relevan</w:t>
      </w:r>
      <w:r>
        <w:t>te.</w:t>
      </w:r>
    </w:p>
    <w:p w14:paraId="7BB2212D" w14:textId="77777777" w:rsidR="00643609" w:rsidRDefault="000651AA">
      <w:pPr>
        <w:spacing w:after="0" w:line="360" w:lineRule="auto"/>
        <w:ind w:firstLine="709"/>
        <w:jc w:val="both"/>
      </w:pPr>
      <w:r>
        <w:t>Frizzo (2007) enfatiza que a contabilidade gerencial é uma ferramenta essencial para a tomada de decisões estratégicas, controle de custos e planejamento financeiro, aspectos fundamentais para a sustentabilidade dos negócios. A pesquisa de Silva Junior</w:t>
      </w:r>
      <w:r>
        <w:t xml:space="preserve"> e Muniz (2006) aborda o processo sucessório em uma empresa familiar capixaba, mas não foca especificamente em escritórios de contabilidade.</w:t>
      </w:r>
    </w:p>
    <w:p w14:paraId="7BAFBB8C" w14:textId="77777777" w:rsidR="00643609" w:rsidRDefault="000651AA">
      <w:pPr>
        <w:spacing w:after="0" w:line="360" w:lineRule="auto"/>
        <w:ind w:firstLine="709"/>
        <w:jc w:val="both"/>
      </w:pPr>
      <w:r>
        <w:t xml:space="preserve">Diante desse cenário, esta pesquisa busca contribuir para o entendimento dos impactos da centralização da </w:t>
      </w:r>
      <w:r>
        <w:t>gestão e da ausência de planejamento sucessório em escritórios de contabilidade familiar. Ao analisar um caso específico, pretende-se oferecer insights que possam auxiliar na elaboração de estratégias para a profissionalização da gestão e a continuidade de</w:t>
      </w:r>
      <w:r>
        <w:t>sses negócios.</w:t>
      </w:r>
    </w:p>
    <w:p w14:paraId="1FBAE1F9" w14:textId="77777777" w:rsidR="00643609" w:rsidRDefault="000651AA">
      <w:pPr>
        <w:spacing w:after="0" w:line="360" w:lineRule="auto"/>
        <w:ind w:firstLine="709"/>
        <w:jc w:val="both"/>
      </w:pPr>
      <w:r>
        <w:t>A relevância deste estudo também se justifica pela importância dos escritórios de contabilidade para a economia brasileira, especialmente no suporte às micro e pequenas empresas. A compreensão dos desafios enfrentados por esses escritórios p</w:t>
      </w:r>
      <w:r>
        <w:t>ode contribuir para o fortalecimento do setor e, consequentemente, para a sustentabilidade das empresas que deles dependem.</w:t>
      </w:r>
    </w:p>
    <w:p w14:paraId="5F7BC786" w14:textId="77777777" w:rsidR="00643609" w:rsidRDefault="000651AA">
      <w:pPr>
        <w:keepNext/>
        <w:spacing w:before="360" w:after="240" w:line="360" w:lineRule="auto"/>
      </w:pPr>
      <w:r>
        <w:rPr>
          <w:b/>
        </w:rPr>
        <w:t>2 FUNDAMENTAÇÃO TEÓRICA</w:t>
      </w:r>
    </w:p>
    <w:p w14:paraId="2AA2571E" w14:textId="77777777" w:rsidR="00643609" w:rsidRDefault="000651AA">
      <w:pPr>
        <w:keepNext/>
        <w:spacing w:before="360" w:after="240" w:line="360" w:lineRule="auto"/>
      </w:pPr>
      <w:r>
        <w:rPr>
          <w:b/>
        </w:rPr>
        <w:t>2.1 Escritórios de Contabilidade Familiar</w:t>
      </w:r>
    </w:p>
    <w:p w14:paraId="30F4E1E8" w14:textId="77777777" w:rsidR="00643609" w:rsidRDefault="000651AA">
      <w:pPr>
        <w:spacing w:after="0" w:line="360" w:lineRule="auto"/>
        <w:ind w:firstLine="709"/>
        <w:jc w:val="both"/>
      </w:pPr>
      <w:r>
        <w:t xml:space="preserve">Os escritórios de contabilidade familiar desempenham papel </w:t>
      </w:r>
      <w:r>
        <w:t>estratégico na economia, especialmente no atendimento a micro, pequenas e médias empresas. Administrados geralmente por membros de uma mesma família, esses negócios se caracterizam pelo atendimento personalizado e proximidade com os clientes, fatores que f</w:t>
      </w:r>
      <w:r>
        <w:t>ortalecem a confiança e fidelização (CHAVES, 2020; SILVA; LOPES; PEREIRA, 2019). A centralização das decisões em um líder, frequentemente o fundador, permite agilidade na gestão e visão unificada do negócio, mas pode representar risco em situações de trans</w:t>
      </w:r>
      <w:r>
        <w:t>ição ou ausência do gestor (KUHN; KAFER, 2024; CHAVES, 2020).</w:t>
      </w:r>
    </w:p>
    <w:p w14:paraId="3D8B4A1D" w14:textId="77F8F592" w:rsidR="00643609" w:rsidRDefault="000651AA">
      <w:pPr>
        <w:spacing w:after="0" w:line="360" w:lineRule="auto"/>
        <w:ind w:firstLine="709"/>
        <w:jc w:val="both"/>
      </w:pPr>
      <w:r>
        <w:t xml:space="preserve">A flexibilidade organizacional e a simplicidade na tomada de decisões conferem vantagens competitivas aos escritórios familiares, permitindo rápida </w:t>
      </w:r>
      <w:r>
        <w:lastRenderedPageBreak/>
        <w:t xml:space="preserve">adaptação às demandas do mercado. No entanto, </w:t>
      </w:r>
      <w:r>
        <w:t xml:space="preserve">para garantir a sustentabilidade, é fundamental investir na qualificação de colaboradores, na organização dos processos internos e na adoção de tecnologias que otimizem rotinas fiscais, contábeis e trabalhistas (KUHN; KAFER, 2024; FERNANDES; SOUZA, 2021). </w:t>
      </w:r>
      <w:r>
        <w:t>O Quadro 1 apresenta os principais departamentos, com suas responsabilidades e características, de um escritório de contabilidade.</w:t>
      </w:r>
    </w:p>
    <w:p w14:paraId="24F1DA9A" w14:textId="77777777" w:rsidR="00AB5F50" w:rsidRDefault="00AB5F50">
      <w:pPr>
        <w:spacing w:after="0" w:line="360" w:lineRule="auto"/>
        <w:ind w:firstLine="709"/>
        <w:jc w:val="both"/>
      </w:pPr>
    </w:p>
    <w:tbl>
      <w:tblPr>
        <w:tblStyle w:val="Tabelacomgrade"/>
        <w:tblW w:w="0" w:type="auto"/>
        <w:jc w:val="center"/>
        <w:tblLayout w:type="fixed"/>
        <w:tblLook w:val="04A0" w:firstRow="1" w:lastRow="0" w:firstColumn="1" w:lastColumn="0" w:noHBand="0" w:noVBand="1"/>
      </w:tblPr>
      <w:tblGrid>
        <w:gridCol w:w="3024"/>
        <w:gridCol w:w="3024"/>
        <w:gridCol w:w="3024"/>
      </w:tblGrid>
      <w:tr w:rsidR="00643609" w14:paraId="59361608" w14:textId="77777777">
        <w:trPr>
          <w:cantSplit/>
          <w:tblHeader/>
          <w:jc w:val="center"/>
        </w:trPr>
        <w:tc>
          <w:tcPr>
            <w:tcW w:w="9070" w:type="dxa"/>
            <w:gridSpan w:val="3"/>
            <w:tcBorders>
              <w:top w:val="nil"/>
              <w:left w:val="nil"/>
              <w:bottom w:val="nil"/>
              <w:right w:val="nil"/>
            </w:tcBorders>
          </w:tcPr>
          <w:p w14:paraId="23A7034B" w14:textId="77777777" w:rsidR="00643609" w:rsidRDefault="000651AA">
            <w:pPr>
              <w:keepNext/>
              <w:keepLines/>
              <w:spacing w:after="120"/>
            </w:pPr>
            <w:r>
              <w:rPr>
                <w:b/>
                <w:sz w:val="20"/>
              </w:rPr>
              <w:t>Quadro 1: Principais departamentos de um escritório de contabilidade</w:t>
            </w:r>
          </w:p>
        </w:tc>
      </w:tr>
      <w:tr w:rsidR="00643609" w14:paraId="502CBB49" w14:textId="77777777">
        <w:trPr>
          <w:cantSplit/>
          <w:tblHeader/>
          <w:jc w:val="center"/>
        </w:trPr>
        <w:tc>
          <w:tcPr>
            <w:tcW w:w="3024" w:type="dxa"/>
            <w:shd w:val="clear" w:color="auto" w:fill="E7E6E6"/>
          </w:tcPr>
          <w:p w14:paraId="0AF81D2E" w14:textId="77777777" w:rsidR="00643609" w:rsidRDefault="000651AA">
            <w:pPr>
              <w:keepNext/>
            </w:pPr>
            <w:r>
              <w:rPr>
                <w:b/>
                <w:sz w:val="20"/>
              </w:rPr>
              <w:t>Departamento Pessoal</w:t>
            </w:r>
          </w:p>
        </w:tc>
        <w:tc>
          <w:tcPr>
            <w:tcW w:w="3024" w:type="dxa"/>
            <w:shd w:val="clear" w:color="auto" w:fill="E7E6E6"/>
          </w:tcPr>
          <w:p w14:paraId="6B84333E" w14:textId="77777777" w:rsidR="00643609" w:rsidRDefault="000651AA">
            <w:pPr>
              <w:keepNext/>
            </w:pPr>
            <w:r>
              <w:rPr>
                <w:b/>
                <w:sz w:val="20"/>
              </w:rPr>
              <w:t>Departamento Contábil</w:t>
            </w:r>
          </w:p>
        </w:tc>
        <w:tc>
          <w:tcPr>
            <w:tcW w:w="3024" w:type="dxa"/>
            <w:shd w:val="clear" w:color="auto" w:fill="E7E6E6"/>
          </w:tcPr>
          <w:p w14:paraId="49AEC0F1" w14:textId="77777777" w:rsidR="00643609" w:rsidRDefault="000651AA">
            <w:pPr>
              <w:keepNext/>
            </w:pPr>
            <w:r>
              <w:rPr>
                <w:b/>
                <w:sz w:val="20"/>
              </w:rPr>
              <w:t>Departamento</w:t>
            </w:r>
            <w:r>
              <w:rPr>
                <w:b/>
                <w:sz w:val="20"/>
              </w:rPr>
              <w:t xml:space="preserve"> Fiscal</w:t>
            </w:r>
          </w:p>
        </w:tc>
      </w:tr>
      <w:tr w:rsidR="00643609" w14:paraId="69CB0286" w14:textId="77777777">
        <w:trPr>
          <w:cantSplit/>
          <w:jc w:val="center"/>
        </w:trPr>
        <w:tc>
          <w:tcPr>
            <w:tcW w:w="3024" w:type="dxa"/>
          </w:tcPr>
          <w:p w14:paraId="5F19C246" w14:textId="77777777" w:rsidR="00643609" w:rsidRDefault="000651AA">
            <w:r>
              <w:rPr>
                <w:sz w:val="20"/>
              </w:rPr>
              <w:t xml:space="preserve">É responsável pela gestão das relações trabalhistas e processos administrativos ligados aos colaboradores das empresas atendidas (RIBEIRO et al., 2023). Suas funções incluem admissões, demissões, folha de pagamento, controle de ponto, </w:t>
            </w:r>
            <w:r>
              <w:rPr>
                <w:sz w:val="20"/>
              </w:rPr>
              <w:t>férias, benefícios e cumprimento das obrigações trabalhistas e previdenciárias, como envio de informações ao eSocial (COSTA et al., 2019). Além do cumprimento legal, o departamento pessoal atua estrategicamente ao orientar clientes sobre alterações na legi</w:t>
            </w:r>
            <w:r>
              <w:rPr>
                <w:sz w:val="20"/>
              </w:rPr>
              <w:t>slação, garantindo conformidade e eficiência na gestão de pessoas (CHAVES, 2020; RIBEIRO et al., 2023).</w:t>
            </w:r>
          </w:p>
        </w:tc>
        <w:tc>
          <w:tcPr>
            <w:tcW w:w="3024" w:type="dxa"/>
          </w:tcPr>
          <w:p w14:paraId="7A3EE0B3" w14:textId="77777777" w:rsidR="00643609" w:rsidRDefault="000651AA">
            <w:r>
              <w:rPr>
                <w:sz w:val="20"/>
              </w:rPr>
              <w:t>É o núcleo do escritório, responsável por registrar, analisar e controlar as movimentações financeiras das empresas (MARTINS; SILVA, 2022). Organiza dem</w:t>
            </w:r>
            <w:r>
              <w:rPr>
                <w:sz w:val="20"/>
              </w:rPr>
              <w:t>onstrações contábeis, como balanço patrimonial, DRE e fluxo de caixa, garantindo informações confiáveis para decisões estratégicas (KUHN; KAFER, 2024). Além das rotinas técnicas, este setor desempenha papel consultivo, oferecendo suporte em planejamento tr</w:t>
            </w:r>
            <w:r>
              <w:rPr>
                <w:sz w:val="20"/>
              </w:rPr>
              <w:t>ibutário e estratégias financeiras. A digitalização e automação, como o uso do Sped Contábil, aumentam a eficiência, mas exigem profissionais capacitados e atualizados (MARTINS; SILVA, 2022).</w:t>
            </w:r>
          </w:p>
        </w:tc>
        <w:tc>
          <w:tcPr>
            <w:tcW w:w="3024" w:type="dxa"/>
          </w:tcPr>
          <w:p w14:paraId="593F3B19" w14:textId="77777777" w:rsidR="00643609" w:rsidRDefault="000651AA">
            <w:r>
              <w:rPr>
                <w:sz w:val="20"/>
              </w:rPr>
              <w:t>Assegura a conformidade tributária, gerenciando impostos como IC</w:t>
            </w:r>
            <w:r>
              <w:rPr>
                <w:sz w:val="20"/>
              </w:rPr>
              <w:t>MS, ISS, IRPJ, CSLL, PIS e COFINS, além de gerar e enviar declarações obrigatórias (KUHN; KAFER, 2024; COSTA et al., 2019). Sua atuação estratégica permite identificar oportunidades de economia tributária e otimizar recursos financeiros. A adoção de tecnol</w:t>
            </w:r>
            <w:r>
              <w:rPr>
                <w:sz w:val="20"/>
              </w:rPr>
              <w:t>ogias integradas é essencial para reduzir erros e agilizar operações, fortalecendo a sustentabilidade dos negócios atendidos (KUHN; KAFER, 2024).</w:t>
            </w:r>
          </w:p>
        </w:tc>
      </w:tr>
    </w:tbl>
    <w:p w14:paraId="2C2CC3B8" w14:textId="77777777" w:rsidR="00643609" w:rsidRDefault="00643609">
      <w:pPr>
        <w:spacing w:after="0" w:line="240" w:lineRule="auto"/>
      </w:pPr>
    </w:p>
    <w:p w14:paraId="4C5D390B" w14:textId="77777777" w:rsidR="00643609" w:rsidRDefault="000651AA">
      <w:pPr>
        <w:keepLines/>
        <w:spacing w:after="240" w:line="240" w:lineRule="auto"/>
      </w:pPr>
      <w:r>
        <w:rPr>
          <w:sz w:val="20"/>
        </w:rPr>
        <w:t>Fonte: Elaborado pela autora (2026).</w:t>
      </w:r>
    </w:p>
    <w:p w14:paraId="2F62349D" w14:textId="77777777" w:rsidR="00643609" w:rsidRDefault="000651AA">
      <w:pPr>
        <w:spacing w:after="0" w:line="360" w:lineRule="auto"/>
        <w:ind w:firstLine="709"/>
        <w:jc w:val="both"/>
      </w:pPr>
      <w:r>
        <w:t>Outro ponto essencial é a relação de confiança entre clientes e equipe.</w:t>
      </w:r>
      <w:r>
        <w:t xml:space="preserve"> Escritórios familiares tendem a oferecer serviços personalizados, o que contribui para a retenção de contratos e consolidação da clientela (PEREIRA et al., 2020). Entretanto, desafios como resistência à digitalização e falta de profissionalização dos proc</w:t>
      </w:r>
      <w:r>
        <w:t>essos internos ainda são comuns, podendo comprometer a eficiência operacional e limitar a inovação (LIMA; COSTA, 2019; CHAVES, 2020).</w:t>
      </w:r>
    </w:p>
    <w:p w14:paraId="658927CD" w14:textId="77777777" w:rsidR="00643609" w:rsidRDefault="000651AA">
      <w:pPr>
        <w:keepNext/>
        <w:spacing w:before="360" w:after="240" w:line="360" w:lineRule="auto"/>
      </w:pPr>
      <w:r>
        <w:rPr>
          <w:b/>
        </w:rPr>
        <w:t>2.2 Gestão de Negócios Familiares e Sucessão Empresarial</w:t>
      </w:r>
    </w:p>
    <w:p w14:paraId="59C8C939" w14:textId="77777777" w:rsidR="00643609" w:rsidRDefault="000651AA">
      <w:pPr>
        <w:spacing w:after="0" w:line="360" w:lineRule="auto"/>
        <w:ind w:firstLine="709"/>
        <w:jc w:val="both"/>
      </w:pPr>
      <w:r>
        <w:t>Negócios familiares combinam aspectos emocionais e profissionais,</w:t>
      </w:r>
      <w:r>
        <w:t xml:space="preserve"> refletindo os valores e estilo de liderança dos fundadores (ALMEIDA; LOPES, 2021). A </w:t>
      </w:r>
      <w:r>
        <w:lastRenderedPageBreak/>
        <w:t xml:space="preserve">centralização de decisões em um único gestor pode dificultar a continuidade das operações diante de mudanças inesperadas, como falecimento ou afastamento do líder (MATOS </w:t>
      </w:r>
      <w:r>
        <w:t>et al., 2024; CHAVES, 2020).</w:t>
      </w:r>
    </w:p>
    <w:p w14:paraId="06DC832D" w14:textId="77777777" w:rsidR="00643609" w:rsidRDefault="000651AA">
      <w:pPr>
        <w:spacing w:after="0" w:line="360" w:lineRule="auto"/>
        <w:ind w:firstLine="709"/>
        <w:jc w:val="both"/>
      </w:pPr>
      <w:r>
        <w:t>A sucessão empresarial é crítica, envolvendo transferência de conhecimento, liderança e controle para a próxima geração, preservando a identidade do negócio e incorporando práticas modernas (COSTA et al., 2019). A ausência de p</w:t>
      </w:r>
      <w:r>
        <w:t>lanejamento sucessório estruturado pode gerar conflitos internos, perda de clientes e risco de encerramento das atividades (ALMEIDA; LOPES, 2021). Por outro lado, a capacitação dos sucessores e adoção de boas práticas de governança fortalecem a continuidad</w:t>
      </w:r>
      <w:r>
        <w:t>e e sustentabilidade empresarial (BIAVA JUNIOR, 2024).</w:t>
      </w:r>
    </w:p>
    <w:p w14:paraId="54A1054D" w14:textId="77777777" w:rsidR="00643609" w:rsidRDefault="000651AA">
      <w:pPr>
        <w:spacing w:after="0" w:line="360" w:lineRule="auto"/>
        <w:ind w:firstLine="709"/>
        <w:jc w:val="both"/>
      </w:pPr>
      <w:r>
        <w:t>A centralização da gestão ocorre quando as decisões estratégicas e operacionais ficam concentradas em um único gestor, geralmente o proprietário (BIAVA JUNIOR, 2024). Embora possa trazer agilidade e co</w:t>
      </w:r>
      <w:r>
        <w:t>ntrole, a dependência excessiva de uma pessoa compromete a continuidade, inovação e desenvolvimento da equipe (ALMEIDA; LOPES, 2021; MELLO et al., 2021).</w:t>
      </w:r>
    </w:p>
    <w:p w14:paraId="40553E67" w14:textId="77777777" w:rsidR="00643609" w:rsidRDefault="000651AA">
      <w:pPr>
        <w:spacing w:after="0" w:line="360" w:lineRule="auto"/>
        <w:ind w:firstLine="709"/>
        <w:jc w:val="both"/>
      </w:pPr>
      <w:r>
        <w:t>Consequências da centralização incluem sobrecarga do gestor, dificuldade na adaptação ao mercado, limi</w:t>
      </w:r>
      <w:r>
        <w:t>tação da motivação e autonomia dos colaboradores, além de entraves à sucessão empresarial (OLIVEIRA et al., 2021; SANTOS; RIBEIRO, 2019).</w:t>
      </w:r>
    </w:p>
    <w:p w14:paraId="2147D0AF" w14:textId="77777777" w:rsidR="00643609" w:rsidRDefault="000651AA">
      <w:pPr>
        <w:spacing w:after="0" w:line="360" w:lineRule="auto"/>
        <w:ind w:firstLine="709"/>
        <w:jc w:val="both"/>
      </w:pPr>
      <w:r>
        <w:t xml:space="preserve">A mitigação dos impactos envolve descentralização gradual, treinamento da equipe, adoção de tecnologia e formalização </w:t>
      </w:r>
      <w:r>
        <w:t>de processos. Sistemas ERP e softwares de automação financeira permitem otimizar operações e reduzir dependência do gestor principal (SOUZA; ALMEIDA, 2021; SILVA; LOPES; PEREIRA, 2019).</w:t>
      </w:r>
    </w:p>
    <w:p w14:paraId="5B1D8631" w14:textId="77777777" w:rsidR="00643609" w:rsidRDefault="000651AA">
      <w:pPr>
        <w:keepNext/>
        <w:spacing w:before="360" w:after="240" w:line="360" w:lineRule="auto"/>
      </w:pPr>
      <w:r>
        <w:rPr>
          <w:b/>
        </w:rPr>
        <w:t>2.3 A Importância da Organização nos Processos Contábeis</w:t>
      </w:r>
    </w:p>
    <w:p w14:paraId="16B1DD9F" w14:textId="77777777" w:rsidR="00643609" w:rsidRDefault="000651AA">
      <w:pPr>
        <w:spacing w:after="0" w:line="360" w:lineRule="auto"/>
        <w:ind w:firstLine="709"/>
        <w:jc w:val="both"/>
      </w:pPr>
      <w:r>
        <w:t>A organização</w:t>
      </w:r>
      <w:r>
        <w:t xml:space="preserve"> contábil é fundamental para precisão, integridade e confiabilidade das informações financeiras, permitindo cumprimento legal e suporte à tomada de decisões estratégicas (ALMEIDA; LOPES, 2021). Processos bem estruturados reduzem erros, retrabalho e atrasos</w:t>
      </w:r>
      <w:r>
        <w:t>, além de facilitar auditorias e garantir transparência (SILVA; LOPES; PEREIRA, 2019).</w:t>
      </w:r>
    </w:p>
    <w:p w14:paraId="408FCBBE" w14:textId="77777777" w:rsidR="00643609" w:rsidRDefault="000651AA">
      <w:pPr>
        <w:spacing w:after="0" w:line="360" w:lineRule="auto"/>
        <w:ind w:firstLine="709"/>
        <w:jc w:val="both"/>
      </w:pPr>
      <w:r>
        <w:t xml:space="preserve">A digitalização, automação e segregação de funções contribuem para eficiência operacional, segurança e prevenção de fraudes (COSTA; RIBEIRO, 2021; </w:t>
      </w:r>
      <w:r>
        <w:lastRenderedPageBreak/>
        <w:t>LIMA; CARVALHO, 2019).</w:t>
      </w:r>
      <w:r>
        <w:t xml:space="preserve"> Nos negócios familiares, a organização contábil também favorece a sucessão e continuidade do negócio, fortalecendo competitividade e sustentabilidade no mercado (OLIVEIRA et al., 2018; NASCIMENTO et al., 2021).</w:t>
      </w:r>
    </w:p>
    <w:p w14:paraId="67880D97" w14:textId="77777777" w:rsidR="00643609" w:rsidRDefault="000651AA">
      <w:pPr>
        <w:keepNext/>
        <w:spacing w:before="360" w:after="240" w:line="360" w:lineRule="auto"/>
      </w:pPr>
      <w:r>
        <w:rPr>
          <w:b/>
        </w:rPr>
        <w:t>3 METODOLOGIA</w:t>
      </w:r>
    </w:p>
    <w:p w14:paraId="697E4454" w14:textId="77777777" w:rsidR="00643609" w:rsidRDefault="000651AA">
      <w:pPr>
        <w:spacing w:after="0" w:line="360" w:lineRule="auto"/>
        <w:ind w:firstLine="709"/>
        <w:jc w:val="both"/>
      </w:pPr>
      <w:r>
        <w:t>A presente pesquisa se trata d</w:t>
      </w:r>
      <w:r>
        <w:t>e um estudo de caso, em um escritório de contabilidade familiar objeto desta investigação, buscando compreender, de maneira aprofundada, o processo de transição da gestão após o falecimento do fundador. Os dados foram coletados por meio de observação parti</w:t>
      </w:r>
      <w:r>
        <w:t xml:space="preserve">cipante; análise documental, principalmente os documentos que envolvem rotinas diárias, como trabalhista, fiscal e contábil, e entrevistas informais, com o intuito de capturar detalhes do dia-a-dia no escritório de contabilidade através de depoimentos sem </w:t>
      </w:r>
      <w:r>
        <w:t>o rigor de uma entrevista semiestruturada, com membros da família e colaboradores. O enfoque qualitativo permitiu compreender a complexidade do contexto organizacional e as adaptações implementadas nos diferentes departamentos.</w:t>
      </w:r>
    </w:p>
    <w:p w14:paraId="2C1028A1" w14:textId="77777777" w:rsidR="00643609" w:rsidRDefault="000651AA">
      <w:pPr>
        <w:spacing w:after="0" w:line="360" w:lineRule="auto"/>
        <w:ind w:firstLine="709"/>
        <w:jc w:val="both"/>
      </w:pPr>
      <w:r>
        <w:t>Considerando que a pesquisad</w:t>
      </w:r>
      <w:r>
        <w:t>ora está diretamente envolvida no processo de sucessão e reorganização do escritório familiar, a metodologia incorporou elementos de autoetnografia, abordagem qualitativa que utiliza a experiência pessoal do pesquisador como instrumento de análise de fenôm</w:t>
      </w:r>
      <w:r>
        <w:t>enos sociais e culturais. Segundo Ellis, Adams e Bochner (2011), a autoetnografia possibilita explorar o significado das experiências vividas de forma contextualizada e reflexiva, conectando o relato individual às dimensões coletivas e institucionais.</w:t>
      </w:r>
    </w:p>
    <w:p w14:paraId="02F3615D" w14:textId="77777777" w:rsidR="00643609" w:rsidRDefault="000651AA">
      <w:pPr>
        <w:spacing w:after="0" w:line="360" w:lineRule="auto"/>
        <w:ind w:firstLine="709"/>
        <w:jc w:val="both"/>
      </w:pPr>
      <w:r>
        <w:t xml:space="preserve">O </w:t>
      </w:r>
      <w:r>
        <w:t>olhar da autora não se restringe à observação externa, mas se constitui como um “olhar de dentro”, fundamentado em vivências diretas e na participação ativa nas decisões e práticas do escritório. Para garantir rigor e validade, adotaram-se estratégias de r</w:t>
      </w:r>
      <w:r>
        <w:t>eflexividade crítica, registrando percepções, sentimentos e interpretações em diário de campo e confrontando-os com a literatura e com os dados documentais.</w:t>
      </w:r>
    </w:p>
    <w:p w14:paraId="4DEADB17" w14:textId="77777777" w:rsidR="00643609" w:rsidRDefault="000651AA">
      <w:pPr>
        <w:spacing w:after="0" w:line="360" w:lineRule="auto"/>
        <w:ind w:firstLine="709"/>
        <w:jc w:val="both"/>
      </w:pPr>
      <w:r>
        <w:t>O uso dessa abordagem não compromete a objetividade do estudo, mas amplia sua profundidade analític</w:t>
      </w:r>
      <w:r>
        <w:t>a, permitindo compreender nuances que poderiam escapar a um observador externo. Quando conduzida com transparência metodológica e compromisso ético, a autoetnografia revela conexões relevantes entre a experiência pessoal e os processos organizacionais, con</w:t>
      </w:r>
      <w:r>
        <w:t xml:space="preserve">tribuindo para o </w:t>
      </w:r>
      <w:r>
        <w:lastRenderedPageBreak/>
        <w:t>avanço do conhecimento acadêmico e prático sobre gestão de empresas familiares (ELLIS; ADAMS; BOCHNER, 2011).</w:t>
      </w:r>
    </w:p>
    <w:p w14:paraId="45E3E4F0" w14:textId="77777777" w:rsidR="00643609" w:rsidRDefault="000651AA">
      <w:pPr>
        <w:spacing w:after="0" w:line="360" w:lineRule="auto"/>
        <w:ind w:firstLine="709"/>
        <w:jc w:val="both"/>
      </w:pPr>
      <w:r>
        <w:t>A pesquisa também se caracteriza como narrativa, uma vez que o relato dos acontecimentos e experiências do processo de sucessão e</w:t>
      </w:r>
      <w:r>
        <w:t xml:space="preserve"> reorganização do escritório foi utilizado como instrumento de análise qualitativa, permitindo descrever e interpretar os fenômenos vivenciados.</w:t>
      </w:r>
    </w:p>
    <w:p w14:paraId="52D2A507" w14:textId="77777777" w:rsidR="00643609" w:rsidRDefault="000651AA">
      <w:pPr>
        <w:spacing w:after="0" w:line="360" w:lineRule="auto"/>
        <w:ind w:firstLine="709"/>
        <w:jc w:val="both"/>
      </w:pPr>
      <w:r>
        <w:t>A pesquisa apresenta limitações importantes quanto à abrangência e generalização de seus resultados, por se con</w:t>
      </w:r>
      <w:r>
        <w:t>centrar em um único escritório contábil familiar de pequeno porte. Embora tenha sido possível realizar um estudo aprofundado da realidade específica da organização, o recorte restrito impede extrapolar os achados para outros escritórios com características</w:t>
      </w:r>
      <w:r>
        <w:t xml:space="preserve"> distintas, sejam de médio ou grande porte, ou com estrutura administrativa não familiar.</w:t>
      </w:r>
    </w:p>
    <w:p w14:paraId="7611CF36" w14:textId="77777777" w:rsidR="00643609" w:rsidRDefault="000651AA">
      <w:pPr>
        <w:spacing w:after="0" w:line="360" w:lineRule="auto"/>
        <w:ind w:firstLine="709"/>
        <w:jc w:val="both"/>
      </w:pPr>
      <w:r>
        <w:t>Outro ponto relevante refere-se ao acesso limitado a determinadas informações internas, especialmente aquelas consideradas estratégicas ou sensíveis pela gestão, o qu</w:t>
      </w:r>
      <w:r>
        <w:t>e pode ter restringido a análise em alguns aspectos operacionais. Além disso, como os dados foram obtidos por entrevistas com membros da própria família que gerenciam o escritório, existe a possibilidade de viés nas respostas, devido à preservação da image</w:t>
      </w:r>
      <w:r>
        <w:t>m da empresa ou limitações de autocrítica.</w:t>
      </w:r>
    </w:p>
    <w:p w14:paraId="24474A5F" w14:textId="77777777" w:rsidR="00643609" w:rsidRDefault="000651AA">
      <w:pPr>
        <w:spacing w:after="0" w:line="360" w:lineRule="auto"/>
        <w:ind w:firstLine="709"/>
        <w:jc w:val="both"/>
      </w:pPr>
      <w:r>
        <w:t>Os dados foram coletados por meio de abordagem qualitativa, com foco na compreensão dos processos internos do escritório. Foram realizadas entrevistas individuais com cada colaborador, complementadas por observaçã</w:t>
      </w:r>
      <w:r>
        <w:t>o participante das rotinas administrativas e operacionais, a fim de permitir uma análise mais fiel da realidade organizacional.</w:t>
      </w:r>
    </w:p>
    <w:p w14:paraId="5DFCECCF" w14:textId="77777777" w:rsidR="00643609" w:rsidRDefault="000651AA">
      <w:pPr>
        <w:spacing w:after="0" w:line="360" w:lineRule="auto"/>
        <w:ind w:firstLine="709"/>
        <w:jc w:val="both"/>
      </w:pPr>
      <w:r>
        <w:t>Durante a observação, foram registradas práticas recorrentes, uso de ferramentas contábeis, fluxo de comunicação entre setores e</w:t>
      </w:r>
      <w:r>
        <w:t xml:space="preserve"> formas de controle e organização interna. O exame de documentos internos, como manuais de procedimentos, planilhas de controle e registros operacionais, também foi utilizado para enriquecer os dados, respeitando os limites de acesso definidos pelos respon</w:t>
      </w:r>
      <w:r>
        <w:t>sáveis.</w:t>
      </w:r>
    </w:p>
    <w:p w14:paraId="4B15BA48" w14:textId="77777777" w:rsidR="00643609" w:rsidRDefault="000651AA">
      <w:pPr>
        <w:spacing w:after="0" w:line="360" w:lineRule="auto"/>
        <w:ind w:firstLine="709"/>
        <w:jc w:val="both"/>
      </w:pPr>
      <w:r>
        <w:t>Os cuidados éticos em todo período da pesquisa, foram adotados, como: a) anonimização dos participantes da pesquisa; b) uso de nome fictício tanto para os entrevistados, que foram os funcionários, como para o escritório de contabilidade, e c) uso d</w:t>
      </w:r>
      <w:r>
        <w:t>o termo de consentimento livre e esclarecido para os entrevistados.</w:t>
      </w:r>
    </w:p>
    <w:p w14:paraId="1B984A61" w14:textId="77777777" w:rsidR="00643609" w:rsidRDefault="000651AA">
      <w:pPr>
        <w:spacing w:after="0" w:line="360" w:lineRule="auto"/>
        <w:ind w:firstLine="709"/>
        <w:jc w:val="both"/>
      </w:pPr>
      <w:r>
        <w:lastRenderedPageBreak/>
        <w:t>Para a análise do</w:t>
      </w:r>
      <w:r>
        <w:rPr>
          <w:i/>
        </w:rPr>
        <w:t xml:space="preserve"> corpus</w:t>
      </w:r>
      <w:r>
        <w:t xml:space="preserve"> produzido foi adotado o discurso do sujeito coletivo, objetivando a construção de uma espécie de fala coletiva a partir dos depoimentos individuais. A pesquisadora trabalhou particularmente com conceitos como expressões-chave, ideias centrais, ancoragens,</w:t>
      </w:r>
      <w:r>
        <w:t xml:space="preserve"> identificando ideias semelhantes e produzindo um discurso do sujeito coletivo, representando o pensamento coletivo de um determinado grupo, e é escrito geralmente na primeira pessoa do singular.</w:t>
      </w:r>
    </w:p>
    <w:p w14:paraId="3C6A2622" w14:textId="77777777" w:rsidR="00643609" w:rsidRDefault="000651AA">
      <w:pPr>
        <w:keepNext/>
        <w:spacing w:before="360" w:after="240" w:line="360" w:lineRule="auto"/>
      </w:pPr>
      <w:r>
        <w:rPr>
          <w:b/>
        </w:rPr>
        <w:t>4 ESTUDO DE CASO</w:t>
      </w:r>
    </w:p>
    <w:p w14:paraId="4F45B759" w14:textId="77777777" w:rsidR="00643609" w:rsidRDefault="000651AA">
      <w:pPr>
        <w:spacing w:after="0" w:line="360" w:lineRule="auto"/>
        <w:ind w:firstLine="709"/>
        <w:jc w:val="both"/>
      </w:pPr>
      <w:r>
        <w:t>Acyr Faria Neto, era economista e técnico e</w:t>
      </w:r>
      <w:r>
        <w:t>m contabilidade. A ideia de abrir um escritório de contabilidade veio quando ele era funcionário da empresa Unida, de transportes municipais e intermunicipais, em Juiz de Fora. Já estava tudo certo, visando alugar uma sala no edifício Alber Ganimi, mas a s</w:t>
      </w:r>
      <w:r>
        <w:t>ócia desistiu e os planos acabaram ali.</w:t>
      </w:r>
    </w:p>
    <w:p w14:paraId="4097B8BC" w14:textId="77777777" w:rsidR="00643609" w:rsidRDefault="000651AA">
      <w:pPr>
        <w:spacing w:after="0" w:line="360" w:lineRule="auto"/>
        <w:ind w:firstLine="709"/>
        <w:jc w:val="both"/>
      </w:pPr>
      <w:r>
        <w:t xml:space="preserve">Como ele já morava em Três Rios, resolveu alugar uma sala e chamou seu primo para trabalhar com ele. Com isso, em 1994 fundou a Contábile. No começo, era somente uma sala com as mesas e armários juntos, depois foram </w:t>
      </w:r>
      <w:r>
        <w:t>construindo divisórias e crescendo o espaço.</w:t>
      </w:r>
    </w:p>
    <w:p w14:paraId="1796D140" w14:textId="77777777" w:rsidR="00643609" w:rsidRDefault="000651AA">
      <w:pPr>
        <w:spacing w:after="0" w:line="360" w:lineRule="auto"/>
        <w:ind w:firstLine="709"/>
        <w:jc w:val="both"/>
      </w:pPr>
      <w:r>
        <w:t>Apesar de já trabalhar na área, nunca havia sido chefe. Começou assessorando 3 empresas de amigos que confiaram no seu trabalho. Logo depois, contratou uma outra funcionária, pois viu que a demanda estava aument</w:t>
      </w:r>
      <w:r>
        <w:t>ando e os prazos diminuindo. Denota-se que este primo ainda continua como funcionário e a primeira funcionária também está lá até hoje (atualmente, ela como responsável pelo Departamento Pessoal e o primo, no Departamento Fiscal).</w:t>
      </w:r>
    </w:p>
    <w:p w14:paraId="0FE64CA2" w14:textId="77777777" w:rsidR="00643609" w:rsidRDefault="000651AA">
      <w:pPr>
        <w:spacing w:after="0" w:line="360" w:lineRule="auto"/>
        <w:ind w:firstLine="709"/>
        <w:jc w:val="both"/>
      </w:pPr>
      <w:r>
        <w:t>Em 2012, o escritório mud</w:t>
      </w:r>
      <w:r>
        <w:t>ou o endereço para um local maior, que ficasse melhor para receber os clientes e acomodasse os funcionários.</w:t>
      </w:r>
    </w:p>
    <w:p w14:paraId="1116A82A" w14:textId="77777777" w:rsidR="00643609" w:rsidRDefault="000651AA">
      <w:pPr>
        <w:spacing w:after="0" w:line="360" w:lineRule="auto"/>
        <w:ind w:firstLine="709"/>
        <w:jc w:val="both"/>
      </w:pPr>
      <w:r>
        <w:t>Em 2023, aproximadamente no início do ano, ocorreu o falecimento do fundador da empresa. A filha, autora desta pesquisa, assumiu imediatamente a pa</w:t>
      </w:r>
      <w:r>
        <w:t>rte administrativa, do escritório, pelo fato de ainda não ter concluído o curso superior de contabilidade e não poder assinar nenhum documento contábil.</w:t>
      </w:r>
    </w:p>
    <w:p w14:paraId="2D3E0769" w14:textId="77777777" w:rsidR="00643609" w:rsidRDefault="000651AA">
      <w:pPr>
        <w:spacing w:after="0" w:line="360" w:lineRule="auto"/>
        <w:ind w:firstLine="709"/>
        <w:jc w:val="both"/>
      </w:pPr>
      <w:r>
        <w:t>Denota-se que o fundador da empresa era centralizador, guardando para si várias informações importantes</w:t>
      </w:r>
      <w:r>
        <w:t xml:space="preserve"> e não as distribuía para os colaboradores. De certa forma, isso causou problemas para a herdeira que assumiria a firma, e mesmo tendo </w:t>
      </w:r>
      <w:r>
        <w:lastRenderedPageBreak/>
        <w:t>ajuda técnica de funcionários mais antigos, seria um desafio (ALMEIDA; LOPES, 2021).</w:t>
      </w:r>
    </w:p>
    <w:p w14:paraId="3FAF0ACE" w14:textId="77777777" w:rsidR="00643609" w:rsidRDefault="000651AA">
      <w:pPr>
        <w:spacing w:after="0" w:line="360" w:lineRule="auto"/>
        <w:ind w:firstLine="709"/>
        <w:jc w:val="both"/>
      </w:pPr>
      <w:r>
        <w:t>Tal fato causa problemas até hoje po</w:t>
      </w:r>
      <w:r>
        <w:t>r não haver um estabelecimento de rotinas contábeis distribuídas aos colaboradores, havendo muitas vezes uma necessidade de pesquisar profundamente quais os métodos e técnicas, principalmente em termos de valores, que o proprietário fundador utilizava no d</w:t>
      </w:r>
      <w:r>
        <w:t>ia a dia contábil (SILVA; LOPES; PEREIRA, 2019).</w:t>
      </w:r>
    </w:p>
    <w:p w14:paraId="393E5B80" w14:textId="77777777" w:rsidR="00643609" w:rsidRDefault="000651AA">
      <w:pPr>
        <w:spacing w:after="0" w:line="360" w:lineRule="auto"/>
        <w:ind w:firstLine="709"/>
        <w:jc w:val="both"/>
      </w:pPr>
      <w:r>
        <w:t>Fator essencial para a pesquisa, o fundador depositava de seus próprios recursos financeiros capitalização para a empresa, para prover pagamentos e despesas correntes, o que de certa forma mascarava a realid</w:t>
      </w:r>
      <w:r>
        <w:t>ade financeira decorrente de ausência de clientes ou inadimplência dos mesmos.</w:t>
      </w:r>
    </w:p>
    <w:p w14:paraId="28490F19" w14:textId="77777777" w:rsidR="00643609" w:rsidRDefault="000651AA">
      <w:pPr>
        <w:spacing w:after="0" w:line="360" w:lineRule="auto"/>
        <w:ind w:firstLine="709"/>
        <w:jc w:val="both"/>
      </w:pPr>
      <w:r>
        <w:t>A passagem do fundador de uma empresa de pequeno porte traz um impacto significativo não apenas emocional, mas também estrutural para a organização. No caso em questão, a ausênc</w:t>
      </w:r>
      <w:r>
        <w:t>ia do gestor principal, que centralizava grande parte das operações e decisões, revelou a necessidade urgente de adaptação por parte da família para garantir a continuidade do negócio. Essa transição foi marcada por desafios e aprendizados, que exigiram um</w:t>
      </w:r>
      <w:r>
        <w:t>a reorganização interna e uma nova abordagem em relação aos processos administrativos, contábeis e fiscais (SILVA; LOPES; PEREIRA, 2019).</w:t>
      </w:r>
    </w:p>
    <w:p w14:paraId="15D50482" w14:textId="77777777" w:rsidR="00643609" w:rsidRDefault="000651AA">
      <w:pPr>
        <w:spacing w:after="0" w:line="360" w:lineRule="auto"/>
        <w:ind w:firstLine="709"/>
        <w:jc w:val="both"/>
      </w:pPr>
      <w:r>
        <w:t>Quando essa situação ocorre, por exemplo, em um escritório de contabilidade, impõe desafios significativos à continuid</w:t>
      </w:r>
      <w:r>
        <w:t>ade e estabilidade do negócio. A centralização das decisões e operações em uma única pessoa pode resultar em dificuldades operacionais e estratégicas quando ocorre uma transição inesperada de liderança. A falta de um planejamento sucessório estruturado fre</w:t>
      </w:r>
      <w:r>
        <w:t>quentemente leva a conflitos internos e à desorganização dos processos empresariais (SILVA; LOPES; PEREIRA, 2019).</w:t>
      </w:r>
    </w:p>
    <w:p w14:paraId="281A9B36" w14:textId="77777777" w:rsidR="00643609" w:rsidRDefault="000651AA">
      <w:pPr>
        <w:spacing w:after="0" w:line="360" w:lineRule="auto"/>
        <w:ind w:firstLine="709"/>
        <w:jc w:val="both"/>
      </w:pPr>
      <w:r>
        <w:t>Inicialmente, a família precisou enfrentar o desafio de acessar e compreender as informações essenciais que, até então, estavam sob o control</w:t>
      </w:r>
      <w:r>
        <w:t>e exclusivo do fundador. A falta de documentação formalizada e de procedimentos padronizados dificultou essa transição, tornando necessário um esforço coletivo para mapear as rotinas diárias e identificar lacunas no gerenciamento. Essa etapa exigiu horas d</w:t>
      </w:r>
      <w:r>
        <w:t>e dedicação, consultas a colaboradores experientes e, em alguns casos, a contratação de consultores externos para organizar os processos e criar um fluxo de trabalho mais estruturado (ALMEIDA; LOPES, 2021).</w:t>
      </w:r>
    </w:p>
    <w:p w14:paraId="1FC131FF" w14:textId="77777777" w:rsidR="00643609" w:rsidRDefault="000651AA">
      <w:pPr>
        <w:spacing w:after="0" w:line="360" w:lineRule="auto"/>
        <w:ind w:firstLine="709"/>
        <w:jc w:val="both"/>
      </w:pPr>
      <w:r>
        <w:lastRenderedPageBreak/>
        <w:t>Outro aspecto crítico foi a redistribuição de res</w:t>
      </w:r>
      <w:r>
        <w:t>ponsabilidades. Cada membro da família assumiu áreas específicas, como o departamento pessoal, contábil e fiscal, de acordo com suas habilidades e experiências prévias. No entanto, nem todos estavam familiarizados com as particularidades do setor contábil,</w:t>
      </w:r>
      <w:r>
        <w:t xml:space="preserve"> o que tornou indispensável o investimento em capacitação e treinamentos (SILVA; LOPES; PEREIRA, 2019). Cursos</w:t>
      </w:r>
      <w:r>
        <w:rPr>
          <w:i/>
        </w:rPr>
        <w:t xml:space="preserve"> online, workshops</w:t>
      </w:r>
      <w:r>
        <w:t xml:space="preserve"> e o apoio de profissionais do mercado foram ferramentas fundamentais para que os familiares pudessem adquirir os conhecimentos </w:t>
      </w:r>
      <w:r>
        <w:t>técnicos necessários para desempenhar suas funções com eficiência.</w:t>
      </w:r>
    </w:p>
    <w:p w14:paraId="51A7D323" w14:textId="77777777" w:rsidR="00643609" w:rsidRDefault="000651AA">
      <w:pPr>
        <w:spacing w:after="0" w:line="360" w:lineRule="auto"/>
        <w:ind w:firstLine="709"/>
        <w:jc w:val="both"/>
      </w:pPr>
      <w:r>
        <w:t>A profissionalização da gestão é uma etapa crucial para mitigar os riscos associados à sucessão em empresas familiares. Esse processo envolve a implementação de estruturas organizacionais c</w:t>
      </w:r>
      <w:r>
        <w:t>laras, definição de responsabilidades e estabelecimento de critérios objetivos para a seleção de líderes, independentemente dos laços familiares. A ausência de profissionalização pode comprometer a sobrevivência da empresa além da segunda geração, evidenci</w:t>
      </w:r>
      <w:r>
        <w:t>ando a importância de práticas de gestão baseadas em competências e méritos.</w:t>
      </w:r>
    </w:p>
    <w:p w14:paraId="2E5BB4D7" w14:textId="77777777" w:rsidR="00643609" w:rsidRDefault="000651AA">
      <w:pPr>
        <w:spacing w:after="0" w:line="360" w:lineRule="auto"/>
        <w:ind w:firstLine="709"/>
        <w:jc w:val="both"/>
      </w:pPr>
      <w:r>
        <w:t>A adaptação também incluiu a implementação de ferramentas tecnológicas para modernizar os processos internos. O fundador, embora experiente, utilizava métodos manuais e pouco auto</w:t>
      </w:r>
      <w:r>
        <w:t xml:space="preserve">matizados para gerenciar o escritório, o que se tornou inviável com o aumento da demanda e a necessidade de maior agilidade. A adoção de softwares de gestão contábil e fiscal, aliados a sistemas de arquivamento digital, trouxe mais organização e segurança </w:t>
      </w:r>
      <w:r>
        <w:t>ao controle das operações, reduzindo a margem de erros e o tempo gasto em atividades repetitivas (ALMEIDA; LOPES, 2021).</w:t>
      </w:r>
    </w:p>
    <w:p w14:paraId="0F356EC1" w14:textId="77777777" w:rsidR="00643609" w:rsidRDefault="000651AA">
      <w:pPr>
        <w:spacing w:after="0" w:line="360" w:lineRule="auto"/>
        <w:ind w:firstLine="709"/>
        <w:jc w:val="both"/>
      </w:pPr>
      <w:r>
        <w:t>Além disso, a comunicação entre os familiares e a equipe do escritório foi um fator determinante para o sucesso dessa adaptação. Reuniõ</w:t>
      </w:r>
      <w:r>
        <w:t>es regulares foram instituídas para discutir os desafios diários, revisar os processos e alinhar as expectativas de todos os envolvidos. Esse diálogo aberto e constante permitiu que a família fortalecesse sua relação com os colaboradores e criasse um ambie</w:t>
      </w:r>
      <w:r>
        <w:t>nte de trabalho mais colaborativo e motivador, essencial para superar as adversidades iniciais (SILVA; LOPES; PEREIRA, 2019).</w:t>
      </w:r>
    </w:p>
    <w:p w14:paraId="0FE6A301" w14:textId="77777777" w:rsidR="00643609" w:rsidRDefault="000651AA">
      <w:pPr>
        <w:spacing w:after="0" w:line="360" w:lineRule="auto"/>
        <w:ind w:firstLine="709"/>
        <w:jc w:val="both"/>
      </w:pPr>
      <w:r>
        <w:t xml:space="preserve">Por fim, a família também precisou aprender a lidar com os clientes, muitos dos quais estavam acostumados ao atendimento direto e </w:t>
      </w:r>
      <w:r>
        <w:t xml:space="preserve">personalizado do fundador. A criação de novos canais de comunicação, como atendimento por e-mail e telefone </w:t>
      </w:r>
      <w:r>
        <w:lastRenderedPageBreak/>
        <w:t>com maior suporte da equipe, ajudou a reforçar a confiança dos clientes no escritório. Essa experiência destacou a importância de diversificar os po</w:t>
      </w:r>
      <w:r>
        <w:t>ntos de contato e garantir a continuidade da excelência no serviço, o que foi crucial para a manutenção da base de clientes e para o crescimento do negócio a longo prazo (SILVA; LOPES; PEREIRA, 2019).</w:t>
      </w:r>
    </w:p>
    <w:p w14:paraId="1E081C61" w14:textId="77777777" w:rsidR="00643609" w:rsidRDefault="000651AA">
      <w:pPr>
        <w:spacing w:after="0" w:line="360" w:lineRule="auto"/>
        <w:ind w:firstLine="709"/>
        <w:jc w:val="both"/>
      </w:pPr>
      <w:r>
        <w:t xml:space="preserve">A reorganização dos departamentos de um </w:t>
      </w:r>
      <w:r>
        <w:t>escritório de contabilidade familiar, após a morte do fundador, é um desafio significativo, especialmente quando a nova liderança é assumida por alguém com pouca experiência prévia (ALMEIDA; LOPES, 2021). No caso em questão, a filha do fundador, ainda estu</w:t>
      </w:r>
      <w:r>
        <w:t>dante de ciências contábeis, foi designada para chefiar a empresa. Embora a situação represente um grande desafio, também abre possibilidades de renovação e modernização dos processos internos.</w:t>
      </w:r>
    </w:p>
    <w:p w14:paraId="383585DD" w14:textId="77777777" w:rsidR="00643609" w:rsidRDefault="000651AA">
      <w:pPr>
        <w:spacing w:after="0" w:line="360" w:lineRule="auto"/>
        <w:ind w:firstLine="709"/>
        <w:jc w:val="both"/>
      </w:pPr>
      <w:r>
        <w:t xml:space="preserve">Inicialmente, a falta de experiência da nova gestora resultou </w:t>
      </w:r>
      <w:r>
        <w:t>em dificuldades na organização das demandas dos departamentos pessoal, contábil e fiscal. Muitos processos estavam centralizados na figura do fundador, sem uma estrutura formal que possibilitasse uma transição suave. A nova liderança precisou dedicar um te</w:t>
      </w:r>
      <w:r>
        <w:t>mpo considerável para mapear as funções de cada setor, identificar as tarefas prioritárias e compreender as necessidades dos clientes, enquanto ainda conciliava seus estudos com as responsabilidades profissionais.</w:t>
      </w:r>
    </w:p>
    <w:p w14:paraId="785D33D7" w14:textId="77777777" w:rsidR="00643609" w:rsidRDefault="000651AA">
      <w:pPr>
        <w:spacing w:after="0" w:line="360" w:lineRule="auto"/>
        <w:ind w:firstLine="709"/>
        <w:jc w:val="both"/>
      </w:pPr>
      <w:r>
        <w:t>Com o apoio da equipe, que se mostrou fund</w:t>
      </w:r>
      <w:r>
        <w:t xml:space="preserve">amental nesse processo, foi possível identificar gargalos operacionais e reorganizar as atividades. No departamento pessoal, a filha implementou sistemas mais modernos para gerenciar folhas de pagamento e rotinas trabalhistas, reduzindo erros e otimizando </w:t>
      </w:r>
      <w:r>
        <w:t>o tempo. Apesar das dificuldades iniciais, o aprendizado teórico adquirido na faculdade ajudou a embasar as decisões e contribuiu para a aplicação de práticas mais atualizadas.</w:t>
      </w:r>
    </w:p>
    <w:p w14:paraId="2A9AC707" w14:textId="77777777" w:rsidR="00643609" w:rsidRDefault="000651AA">
      <w:pPr>
        <w:spacing w:after="0" w:line="360" w:lineRule="auto"/>
        <w:ind w:firstLine="709"/>
        <w:jc w:val="both"/>
      </w:pPr>
      <w:r>
        <w:t>No departamento contábil, uma das primeiras medidas foi a digitalização dos arq</w:t>
      </w:r>
      <w:r>
        <w:t>uivos e a implantação de um</w:t>
      </w:r>
      <w:r>
        <w:rPr>
          <w:i/>
        </w:rPr>
        <w:t xml:space="preserve"> software</w:t>
      </w:r>
      <w:r>
        <w:t xml:space="preserve"> especializado em contabilidade. Essa mudança visava não apenas melhorar a eficiência do trabalho, mas também aumentar a transparência e facilitar o acesso às informações por todos os membros da equipe. A reorganização i</w:t>
      </w:r>
      <w:r>
        <w:t>ncluiu a delegação de tarefas, antes concentradas no fundador, entre os colaboradores mais experientes.</w:t>
      </w:r>
    </w:p>
    <w:p w14:paraId="0ED21E34" w14:textId="77777777" w:rsidR="00643609" w:rsidRDefault="000651AA">
      <w:pPr>
        <w:spacing w:after="0" w:line="360" w:lineRule="auto"/>
        <w:ind w:firstLine="709"/>
        <w:jc w:val="both"/>
      </w:pPr>
      <w:r>
        <w:t>Já no departamento fiscal, as adaptações foram mais desafiadoras, devido à complexidade das obrigações tributárias. A nova gestora precisou buscar capac</w:t>
      </w:r>
      <w:r>
        <w:t xml:space="preserve">itação externa, participando de cursos e consultorias para compreender </w:t>
      </w:r>
      <w:r>
        <w:lastRenderedPageBreak/>
        <w:t>melhor a legislação e garantir o cumprimento das obrigações fiscais dos clientes. O processo de adaptação incluiu a criação de um calendário fiscal para evitar atrasos e multas, bem com</w:t>
      </w:r>
      <w:r>
        <w:t>o a revisão de processos de apuração de tributos (SILVA; LOPES; PEREIRA, 2019).</w:t>
      </w:r>
    </w:p>
    <w:p w14:paraId="2DDD6F62" w14:textId="77777777" w:rsidR="00643609" w:rsidRDefault="000651AA">
      <w:pPr>
        <w:spacing w:after="0" w:line="360" w:lineRule="auto"/>
        <w:ind w:firstLine="709"/>
        <w:jc w:val="both"/>
      </w:pPr>
      <w:r>
        <w:t>Embora a reorganização tenha demandado tempo e esforço, os resultados começaram a se tornar perceptíveis. O envolvimento da nova líder com a equipe, aliado ao desejo de aprende</w:t>
      </w:r>
      <w:r>
        <w:t>r e crescer, trouxe uma nova dinâmica ao escritório. A experiência prática no gerenciamento do negócio tornou-se uma extensão do aprendizado acadêmico da filha, criando uma oportunidade única para aplicar os conhecimentos teóricos na resolução de problemas</w:t>
      </w:r>
      <w:r>
        <w:t xml:space="preserve"> reais. A reorganização dos departamentos não apenas contribuiu para a continuidade da empresa, mas também lançou as bases para um futuro mais promissor e estruturado.</w:t>
      </w:r>
    </w:p>
    <w:p w14:paraId="2306C8D0" w14:textId="77777777" w:rsidR="00643609" w:rsidRDefault="000651AA">
      <w:pPr>
        <w:spacing w:after="0" w:line="360" w:lineRule="auto"/>
        <w:ind w:firstLine="709"/>
        <w:jc w:val="both"/>
      </w:pPr>
      <w:r>
        <w:t>A distribuição de responsabilidades no escritório de contabilidade familiar foi um aspec</w:t>
      </w:r>
      <w:r>
        <w:t>to essencial para garantir o funcionamento eficiente do negócio, especialmente em situações de transição de liderança. Com a ausência do fundador, a necessidade de redistribuir as tarefas, anteriormente centralizadas, tornou-se uma prioridade para a contin</w:t>
      </w:r>
      <w:r>
        <w:t>uidade das operações. Nesse contexto, a nova liderança, assumida pela filha do fundador, teve que reavaliar os papéis e as funções dentro da equipe, buscando equilibrar as demandas dos departamentos pessoal, contábil e fiscal.</w:t>
      </w:r>
    </w:p>
    <w:p w14:paraId="56528E9B" w14:textId="77777777" w:rsidR="00643609" w:rsidRDefault="000651AA">
      <w:pPr>
        <w:spacing w:after="0" w:line="360" w:lineRule="auto"/>
        <w:ind w:firstLine="709"/>
        <w:jc w:val="both"/>
      </w:pPr>
      <w:r>
        <w:t xml:space="preserve">Inicialmente, foi necessário </w:t>
      </w:r>
      <w:r>
        <w:t>mapear as principais atividades realizadas no escritório e identificar as competências de cada colaborador. Como o fundador acumulava grande parte das decisões e processos, a equipe, em muitos casos, não tinha clareza total sobre o escopo completo das tare</w:t>
      </w:r>
      <w:r>
        <w:t>fas. Assim, a nova líder promoveu reuniões para dividir responsabilidades de maneira mais estratégica, delegando funções com base na experiência e habilidades específicas de cada membro da equipe.</w:t>
      </w:r>
    </w:p>
    <w:p w14:paraId="3835AF3E" w14:textId="77777777" w:rsidR="00643609" w:rsidRDefault="000651AA">
      <w:pPr>
        <w:spacing w:after="0" w:line="360" w:lineRule="auto"/>
        <w:ind w:firstLine="709"/>
        <w:jc w:val="both"/>
      </w:pPr>
      <w:r>
        <w:t>No departamento pessoal, as tarefas relacionadas ao gerenci</w:t>
      </w:r>
      <w:r>
        <w:t>amento de admissões, demissões, folha de pagamento e controle de benefícios foram redistribuídas. Um colaborador com experiência prévia nessa área foi designado para coordenar as atividades, enquanto outro membro ficou responsável por auxiliar nos processo</w:t>
      </w:r>
      <w:r>
        <w:t>s mais complexos, como auditorias trabalhistas e o cumprimento de obrigações legais. Essa divisão ajudou a evitar a sobrecarga de trabalho e a promover maior eficiência nas operações.</w:t>
      </w:r>
    </w:p>
    <w:p w14:paraId="7E90BCAE" w14:textId="77777777" w:rsidR="00643609" w:rsidRDefault="000651AA">
      <w:pPr>
        <w:spacing w:after="0" w:line="360" w:lineRule="auto"/>
        <w:ind w:firstLine="709"/>
        <w:jc w:val="both"/>
      </w:pPr>
      <w:r>
        <w:lastRenderedPageBreak/>
        <w:t xml:space="preserve">No departamento contábil, a digitalização e reorganização dos processos </w:t>
      </w:r>
      <w:r>
        <w:t>trouxeram a oportunidade de distribuir as tarefas de forma mais clara. A nova gestora assumiu um papel mais administrativo, supervisionando as operações gerais, enquanto os membros mais experientes da equipe passaram a se dedicar ao fechamento de balanços,</w:t>
      </w:r>
      <w:r>
        <w:t xml:space="preserve"> análise de demonstrativos financeiros e preparação de relatórios para os clientes. A descentralização de funções reduziu o risco de erros e facilitou o cumprimento de prazos.</w:t>
      </w:r>
    </w:p>
    <w:p w14:paraId="11A35347" w14:textId="77777777" w:rsidR="00643609" w:rsidRDefault="000651AA">
      <w:pPr>
        <w:spacing w:after="0" w:line="360" w:lineRule="auto"/>
        <w:ind w:firstLine="709"/>
        <w:jc w:val="both"/>
      </w:pPr>
      <w:r>
        <w:t>No departamento fiscal, que apresentava maior complexidade, a redistribuição das</w:t>
      </w:r>
      <w:r>
        <w:t xml:space="preserve"> responsabilidades envolveu a definição de papéis bem delimitados para o acompanhamento da legislação tributária, apuração de impostos e envio de declarações fiscais. Um colaborador com mais familiaridade com o sistema tributário assumiu a função de princi</w:t>
      </w:r>
      <w:r>
        <w:t>pal responsável pelas obrigações fiscais, enquanto a nova gestora passou a supervisionar o trabalho e garantir que todas as tarefas fossem realizadas dentro dos prazos.</w:t>
      </w:r>
    </w:p>
    <w:p w14:paraId="41BE8C35" w14:textId="77777777" w:rsidR="00643609" w:rsidRDefault="000651AA">
      <w:pPr>
        <w:spacing w:after="0" w:line="360" w:lineRule="auto"/>
        <w:ind w:firstLine="709"/>
        <w:jc w:val="both"/>
      </w:pPr>
      <w:r>
        <w:t>A reorganização também incluiu a criação de um plano de desenvolvimento para os colabor</w:t>
      </w:r>
      <w:r>
        <w:t>adores, que envolvia capacitação em áreas específicas, como mudanças na legislação, gestão de sistemas digitais e atendimento ao cliente. A nova líder percebeu que, ao investir na equipe, era possível não apenas melhorar a qualidade dos serviços, mas també</w:t>
      </w:r>
      <w:r>
        <w:t>m aliviar a pressão sobre sua própria gestão, ainda em processo de consolidação.</w:t>
      </w:r>
    </w:p>
    <w:p w14:paraId="461596AF" w14:textId="77777777" w:rsidR="00643609" w:rsidRDefault="000651AA">
      <w:pPr>
        <w:spacing w:after="0" w:line="360" w:lineRule="auto"/>
        <w:ind w:firstLine="709"/>
        <w:jc w:val="both"/>
      </w:pPr>
      <w:r>
        <w:t>Os desafios enfrentados por um escritório de contabilidade familiar, após o falecimento do fundador, são múltiplos e complexos, abrangendo aspectos organizacionais, técnicos e</w:t>
      </w:r>
      <w:r>
        <w:t xml:space="preserve"> emocionais. A ausência de um líder centralizador, que acumulava grande parte das informações e processos, gerou inicialmente um cenário de desorganização, que exigiu da família adaptações rápidas e assertivas para manter o funcionamento do negócio (SILVA;</w:t>
      </w:r>
      <w:r>
        <w:t xml:space="preserve"> LOPES; PEREIRA, 2019).</w:t>
      </w:r>
    </w:p>
    <w:p w14:paraId="454291B7" w14:textId="77777777" w:rsidR="00643609" w:rsidRDefault="000651AA">
      <w:pPr>
        <w:spacing w:after="0" w:line="360" w:lineRule="auto"/>
        <w:ind w:firstLine="709"/>
        <w:jc w:val="both"/>
      </w:pPr>
      <w:r>
        <w:t>O primeiro grande desafio foi a falta de registros formalizados e acessíveis. Grande parte do conhecimento sobre os processos do escritório, desde a gestão dos clientes até as rotinas dos departamentos pessoal, contábil e fiscal, es</w:t>
      </w:r>
      <w:r>
        <w:t>tava na memória do fundador, sem documentação estruturada. Esse contexto dificultou o acesso às informações necessárias para a continuidade das operações, aumentando o risco de erros e atrasos nos prazos fiscais e trabalhistas (COSTA et al., 2019).</w:t>
      </w:r>
    </w:p>
    <w:p w14:paraId="25DCE0AA" w14:textId="77777777" w:rsidR="00643609" w:rsidRDefault="000651AA">
      <w:pPr>
        <w:spacing w:after="0" w:line="360" w:lineRule="auto"/>
        <w:ind w:firstLine="709"/>
        <w:jc w:val="both"/>
      </w:pPr>
      <w:r>
        <w:lastRenderedPageBreak/>
        <w:t>Além di</w:t>
      </w:r>
      <w:r>
        <w:t>sso, a falta de experiência da nova liderança tornou o processo ainda mais desafiador. A filha do fundador, ainda estudante de ciências contábeis, teve que assumir a gestão da empresa sem o preparo prático necessário para lidar com questões administrativas</w:t>
      </w:r>
      <w:r>
        <w:t xml:space="preserve"> e técnicas. A necessidade de aprender enquanto gerenciava os desafios do dia a dia criou uma sobrecarga significativa, exigindo dela um equilíbrio entre o aprendizado acadêmico e as demandas profissionais.</w:t>
      </w:r>
    </w:p>
    <w:p w14:paraId="25A3A2AA" w14:textId="77777777" w:rsidR="00643609" w:rsidRDefault="000651AA">
      <w:pPr>
        <w:spacing w:after="0" w:line="360" w:lineRule="auto"/>
        <w:ind w:firstLine="709"/>
        <w:jc w:val="both"/>
      </w:pPr>
      <w:r>
        <w:t>Outro obstáculo importante foi o impacto emociona</w:t>
      </w:r>
      <w:r>
        <w:t>l da perda do fundador. Para os membros da família e a equipe, a ausência de uma figura tão central para o negócio trouxe não apenas incertezas quanto ao futuro, mas também a necessidade de lidar com o luto enquanto buscavam soluções para problemas urgente</w:t>
      </w:r>
      <w:r>
        <w:t>s. Esse fator emocional teve um peso significativo, especialmente nas decisões estratégicas que precisavam ser tomadas rapidamente (COSTA et al., 2019).</w:t>
      </w:r>
    </w:p>
    <w:p w14:paraId="11A4237C" w14:textId="77777777" w:rsidR="00643609" w:rsidRDefault="000651AA">
      <w:pPr>
        <w:spacing w:after="0" w:line="360" w:lineRule="auto"/>
        <w:ind w:firstLine="709"/>
        <w:jc w:val="both"/>
      </w:pPr>
      <w:r>
        <w:t>No âmbito técnico, a atualização e modernização dos processos também se apresentaram como desafios. O e</w:t>
      </w:r>
      <w:r>
        <w:t>scritório operava com sistemas e métodos manuais ou obsoletos, que se mostraram insuficientes diante do aumento das exigências do mercado e das demandas dos clientes. A implementação de novos softwares e ferramentas gerou resistência inicial por parte da e</w:t>
      </w:r>
      <w:r>
        <w:t>quipe, além de exigir investimentos financeiros que não estavam previstos (SILVA; LOPES; PEREIRA, 2019).</w:t>
      </w:r>
    </w:p>
    <w:p w14:paraId="60F209B6" w14:textId="77777777" w:rsidR="00643609" w:rsidRDefault="000651AA">
      <w:pPr>
        <w:spacing w:after="0" w:line="360" w:lineRule="auto"/>
        <w:ind w:firstLine="709"/>
        <w:jc w:val="both"/>
      </w:pPr>
      <w:r>
        <w:t>A comunicação interna foi outro ponto crítico. A falta de clareza sobre as funções de cada colaborador e a ausência de uma cultura organizacional forma</w:t>
      </w:r>
      <w:r>
        <w:t>l dificultaram a delegação de tarefas e a cooperação entre os departamentos. Para superar essa barreira, foram necessárias reuniões frequentes e esforços para criar um ambiente mais colaborativo e transparente (COSTA et al., 2019).</w:t>
      </w:r>
    </w:p>
    <w:p w14:paraId="406B77C3" w14:textId="77777777" w:rsidR="00643609" w:rsidRDefault="000651AA">
      <w:pPr>
        <w:spacing w:after="0" w:line="360" w:lineRule="auto"/>
        <w:ind w:firstLine="709"/>
        <w:jc w:val="both"/>
      </w:pPr>
      <w:r>
        <w:t xml:space="preserve">Por fim, a retenção dos </w:t>
      </w:r>
      <w:r>
        <w:t>clientes se tornou uma preocupação constante. A transição de liderança gerou dúvidas nos clientes sobre a continuidade da qualidade dos serviços prestados. A nova gestora precisou estabelecer uma comunicação mais próxima com os clientes, demonstrando compr</w:t>
      </w:r>
      <w:r>
        <w:t>ometimento e capacidade para superar os desafios e manter o padrão de atendimento.</w:t>
      </w:r>
    </w:p>
    <w:p w14:paraId="75DE5C36" w14:textId="77777777" w:rsidR="00643609" w:rsidRDefault="000651AA">
      <w:pPr>
        <w:spacing w:after="0" w:line="360" w:lineRule="auto"/>
        <w:ind w:firstLine="709"/>
        <w:jc w:val="both"/>
      </w:pPr>
      <w:r>
        <w:t>Somente após o falecimento do fundador, ficou evidente que a ausência de uma sistematização e compartilhamento do conhecimento acumulado ao longo dos anos representava um do</w:t>
      </w:r>
      <w:r>
        <w:t>s maiores desafios para a continuidade do negócio.</w:t>
      </w:r>
    </w:p>
    <w:p w14:paraId="6E8484CB" w14:textId="77777777" w:rsidR="00643609" w:rsidRDefault="000651AA">
      <w:pPr>
        <w:spacing w:after="0" w:line="360" w:lineRule="auto"/>
        <w:ind w:firstLine="709"/>
        <w:jc w:val="both"/>
      </w:pPr>
      <w:r>
        <w:t xml:space="preserve">A ausência de registros estruturados, como manuais de procedimentos, relatórios organizados e ferramentas de gestão integradas, dificultou o acesso às </w:t>
      </w:r>
      <w:r>
        <w:lastRenderedPageBreak/>
        <w:t xml:space="preserve">informações necessárias para a realização das tarefas </w:t>
      </w:r>
      <w:r>
        <w:t>diárias nos departamentos pessoal, contábil e fiscal (COSTA et al., 2019). Essa lacuna forçou a nova liderança e a equipe a desenvolverem estratégias para mapear e organizar os dados disponíveis, transformando o conhecimento tácito — que estava na experiên</w:t>
      </w:r>
      <w:r>
        <w:t>cia pessoal do fundador — em conhecimento explícito, acessível a todos (COSTA et al., 2019).</w:t>
      </w:r>
    </w:p>
    <w:p w14:paraId="6CE73F47" w14:textId="77777777" w:rsidR="00643609" w:rsidRDefault="000651AA">
      <w:pPr>
        <w:spacing w:after="0" w:line="360" w:lineRule="auto"/>
        <w:ind w:firstLine="709"/>
        <w:jc w:val="both"/>
      </w:pPr>
      <w:r>
        <w:t>Uma das primeiras medidas implementadas pela nova gestão foi a criação de uma base de dados centralizada, onde as informações sobre clientes, processos internos, p</w:t>
      </w:r>
      <w:r>
        <w:t>razos fiscais e legislação aplicável foram armazenadas e sistematizadas. Ferramentas digitais, como softwares de gestão contábil e planilhas integradas, foram adotadas para registrar e monitorar as atividades do escritório. Essa modernização permitiu maior</w:t>
      </w:r>
      <w:r>
        <w:t xml:space="preserve"> transparência e eficiência nos processos, além de facilitar a consulta às informações por todos os colaboradores (COSTA et al., 2019).</w:t>
      </w:r>
    </w:p>
    <w:p w14:paraId="7E737768" w14:textId="77777777" w:rsidR="00643609" w:rsidRDefault="000651AA">
      <w:pPr>
        <w:spacing w:after="0" w:line="360" w:lineRule="auto"/>
        <w:ind w:firstLine="709"/>
        <w:jc w:val="both"/>
      </w:pPr>
      <w:r>
        <w:t xml:space="preserve">Além disso, foi necessário investir na capacitação da equipe para lidar com a nova dinâmica de gestão da </w:t>
      </w:r>
      <w:r>
        <w:t>informação. Treinamentos e workshops foram realizados para ensinar o uso das ferramentas implementadas e garantir que os colaboradores compreendessem a importância de registrar e compartilhar informações de maneira organizada e contínua. Essa abordagem pro</w:t>
      </w:r>
      <w:r>
        <w:t>moveu uma cultura de colaboração, onde o conhecimento deixou de ser centralizado e passou a ser um recurso coletivo, acessível e útil para todos.</w:t>
      </w:r>
    </w:p>
    <w:p w14:paraId="2EB8D149" w14:textId="77777777" w:rsidR="00643609" w:rsidRDefault="000651AA">
      <w:pPr>
        <w:spacing w:after="0" w:line="360" w:lineRule="auto"/>
        <w:ind w:firstLine="709"/>
        <w:jc w:val="both"/>
      </w:pPr>
      <w:r>
        <w:t>Outro aspecto importante foi a criação de protocolos e procedimentos padrão para as principais atividades do e</w:t>
      </w:r>
      <w:r>
        <w:t>scritório, como o atendimento aos clientes, o fechamento de balanços e a apuração de impostos. Esses documentos, além de padronizarem os processos, garantiram que o conhecimento necessário para o funcionamento do negócio fosse preservado e transmitido de f</w:t>
      </w:r>
      <w:r>
        <w:t>orma clara, mesmo em caso de rotatividade de funcionários ou mudanças na liderança.</w:t>
      </w:r>
    </w:p>
    <w:p w14:paraId="0341A4C8" w14:textId="77777777" w:rsidR="00643609" w:rsidRDefault="000651AA">
      <w:pPr>
        <w:spacing w:after="0" w:line="360" w:lineRule="auto"/>
        <w:ind w:firstLine="709"/>
        <w:jc w:val="both"/>
      </w:pPr>
      <w:r>
        <w:t>A gestão do conhecimento também envolveu a adoção de práticas de feedback e reuniões regulares para o compartilhamento de informações entre os departamentos. Essa iniciativ</w:t>
      </w:r>
      <w:r>
        <w:t>a permitiu que a equipe identificasse problemas, sugerisse melhorias e trocasse experiências, fortalecendo a capacidade do escritório de se adaptar às demandas do mercado (COSTA et al., 2019).</w:t>
      </w:r>
    </w:p>
    <w:p w14:paraId="085B362C" w14:textId="77777777" w:rsidR="00643609" w:rsidRDefault="000651AA">
      <w:pPr>
        <w:spacing w:after="0" w:line="360" w:lineRule="auto"/>
        <w:ind w:firstLine="709"/>
        <w:jc w:val="both"/>
      </w:pPr>
      <w:r>
        <w:t>A retenção e conquista de clientes são pilares fundamentais par</w:t>
      </w:r>
      <w:r>
        <w:t xml:space="preserve">a a sobrevivência e o crescimento de escritórios de contabilidade familiar, especialmente em momentos de transição, como a substituição da liderança. Nesse contexto, a </w:t>
      </w:r>
      <w:r>
        <w:lastRenderedPageBreak/>
        <w:t>capacidade de manter os clientes existentes e atrair novos tornou-se uma prioridade estr</w:t>
      </w:r>
      <w:r>
        <w:t>atégica para a nova gestão (SILVA; LOPES; PEREIRA, 2019).</w:t>
      </w:r>
    </w:p>
    <w:p w14:paraId="2E39DB3A" w14:textId="77777777" w:rsidR="00643609" w:rsidRDefault="000651AA">
      <w:pPr>
        <w:spacing w:after="0" w:line="360" w:lineRule="auto"/>
        <w:ind w:firstLine="709"/>
        <w:jc w:val="both"/>
      </w:pPr>
      <w:r>
        <w:t>A retenção de clientes foi o primeiro grande desafio enfrentado pela filha do fundador ao assumir a chefia do escritório. Muitos clientes, habituados à proximidade e ao atendimento personalizado pro</w:t>
      </w:r>
      <w:r>
        <w:t>porcionado pelo antigo gestor, demonstraram insegurança quanto à continuidade da qualidade dos serviços (COSTA et al., 2019). Para lidar com essa situação, a nova gestão adotou uma postura proativa, reforçando a comunicação com os clientes para informar so</w:t>
      </w:r>
      <w:r>
        <w:t>bre as mudanças na administração e reafirmar o compromisso com a excelência nos serviços prestados.</w:t>
      </w:r>
    </w:p>
    <w:p w14:paraId="7C9C151A" w14:textId="77777777" w:rsidR="00643609" w:rsidRDefault="000651AA">
      <w:pPr>
        <w:spacing w:after="0" w:line="360" w:lineRule="auto"/>
        <w:ind w:firstLine="709"/>
        <w:jc w:val="both"/>
      </w:pPr>
      <w:r>
        <w:t>Uma estratégia central foi a implementação de canais de comunicação mais eficientes e acessíveis, como o uso de e-mails, mensagens instantâneas e reuniões p</w:t>
      </w:r>
      <w:r>
        <w:t>resenciais ou virtuais. A transparência sobre os processos internos e o compartilhamento de atualizações regulares sobre a situação dos serviços geraram maior confiança por parte dos clientes, reduzindo as dúvidas e fortalecendo os laços de parceria (SILVA</w:t>
      </w:r>
      <w:r>
        <w:t>; LOPES; PEREIRA, 2019).</w:t>
      </w:r>
    </w:p>
    <w:p w14:paraId="0AE27D9F" w14:textId="77777777" w:rsidR="00643609" w:rsidRDefault="000651AA">
      <w:pPr>
        <w:spacing w:after="0" w:line="360" w:lineRule="auto"/>
        <w:ind w:firstLine="709"/>
        <w:jc w:val="both"/>
      </w:pPr>
      <w:r>
        <w:t xml:space="preserve">Além disso, a personalização do atendimento foi intensificada. A nova gestão buscou compreender as necessidades específicas de cada cliente, oferecendo soluções sob medida que se alinhassem às suas expectativas. Esse </w:t>
      </w:r>
      <w:r>
        <w:t>esforço, aliado a uma postura de acolhimento e escuta ativa, contribuiu para solidificar o relacionamento com a carteira de clientes existente (COSTA et al., 2019).</w:t>
      </w:r>
    </w:p>
    <w:p w14:paraId="2DF9FFAD" w14:textId="77777777" w:rsidR="00643609" w:rsidRDefault="000651AA">
      <w:pPr>
        <w:spacing w:after="0" w:line="360" w:lineRule="auto"/>
        <w:ind w:firstLine="709"/>
        <w:jc w:val="both"/>
      </w:pPr>
      <w:r>
        <w:t>Por outro lado, a conquista de novos clientes exigiu a adoção de uma abordagem mais competi</w:t>
      </w:r>
      <w:r>
        <w:t xml:space="preserve">tiva no mercado. A modernização dos processos internos, com a introdução de softwares de gestão contábil e a digitalização dos documentos, foi um diferencial importante para atrair clientes em busca de escritórios mais alinhados às exigências tecnológicas </w:t>
      </w:r>
      <w:r>
        <w:t>atuais. Além disso, a divulgação da imagem do escritório como uma empresa em processo de renovação e crescimento foi realizada por meio de campanhas nas redes sociais e indicações de clientes satisfeitos.</w:t>
      </w:r>
    </w:p>
    <w:p w14:paraId="6AD24B30" w14:textId="77777777" w:rsidR="00643609" w:rsidRDefault="000651AA">
      <w:pPr>
        <w:spacing w:after="0" w:line="360" w:lineRule="auto"/>
        <w:ind w:firstLine="709"/>
        <w:jc w:val="both"/>
      </w:pPr>
      <w:r>
        <w:t>A gestão também investiu em</w:t>
      </w:r>
      <w:r>
        <w:rPr>
          <w:i/>
        </w:rPr>
        <w:t xml:space="preserve"> networking</w:t>
      </w:r>
      <w:r>
        <w:t xml:space="preserve"> e parcerias </w:t>
      </w:r>
      <w:r>
        <w:t>estratégicas com outras empresas e profissionais, como advogados e consultores financeiros, para ampliar o alcance do escritório e atrair novos clientes. Essas parcerias não apenas aumentaram a visibilidade do escritório no mercado, mas também agregaram va</w:t>
      </w:r>
      <w:r>
        <w:t>lor aos serviços oferecidos, criando soluções mais completas para as demandas dos clientes (SILVA; LOPES; PEREIRA, 2019).</w:t>
      </w:r>
    </w:p>
    <w:p w14:paraId="209B6B3F" w14:textId="77777777" w:rsidR="00643609" w:rsidRDefault="000651AA">
      <w:pPr>
        <w:spacing w:after="0" w:line="360" w:lineRule="auto"/>
        <w:ind w:firstLine="709"/>
        <w:jc w:val="both"/>
      </w:pPr>
      <w:r>
        <w:lastRenderedPageBreak/>
        <w:t>Por fim, programas de fidelização e descontos para novos contratos foram implementados como parte de uma estratégia de retenção e expa</w:t>
      </w:r>
      <w:r>
        <w:t>nsão. Clientes antigos foram recompensados por sua lealdade, enquanto novos tiveram acesso a condições especiais, o que incentivou a continuidade da relação comercial a longo prazo.</w:t>
      </w:r>
    </w:p>
    <w:p w14:paraId="056E1EA4" w14:textId="77777777" w:rsidR="00643609" w:rsidRDefault="000651AA">
      <w:pPr>
        <w:spacing w:after="0" w:line="360" w:lineRule="auto"/>
        <w:ind w:firstLine="709"/>
        <w:jc w:val="both"/>
      </w:pPr>
      <w:r>
        <w:t>A qualificação e o treinamento da equipe desempenharam um papel central na</w:t>
      </w:r>
      <w:r>
        <w:t xml:space="preserve"> adaptação e no crescimento do escritório de contabilidade familiar após a transição de liderança. Com a saída inesperada do fundador, tornou-se evidente a necessidade de preparar os colaboradores para assumirem responsabilidades adicionais e desempenharem</w:t>
      </w:r>
      <w:r>
        <w:t xml:space="preserve"> suas funções com maior autonomia e eficiência (COSTA et al., 2019).</w:t>
      </w:r>
    </w:p>
    <w:p w14:paraId="6C9A2961" w14:textId="77777777" w:rsidR="00643609" w:rsidRDefault="000651AA">
      <w:pPr>
        <w:spacing w:after="0" w:line="360" w:lineRule="auto"/>
        <w:ind w:firstLine="709"/>
        <w:jc w:val="both"/>
      </w:pPr>
      <w:r>
        <w:t>Uma das primeiras ações implementadas pela nova gestão foi identificar as lacunas de conhecimento e habilidades dos funcionários em relação aos processos dos departamentos pessoal, contáb</w:t>
      </w:r>
      <w:r>
        <w:t>il e fiscal. Essa análise permitiu priorizar áreas críticas para o funcionamento do escritório e planejar treinamentos específicos para cada uma delas. Como exemplo, cursos sobre legislação trabalhista e fiscal foram oferecidos para atualizar a equipe sobr</w:t>
      </w:r>
      <w:r>
        <w:t>e as mudanças recentes, enquanto workshops sobre ferramentas digitais de contabilidade ajudaram a otimizar os fluxos de trabalho.</w:t>
      </w:r>
    </w:p>
    <w:p w14:paraId="71326A18" w14:textId="77777777" w:rsidR="00643609" w:rsidRDefault="000651AA">
      <w:pPr>
        <w:spacing w:after="0" w:line="360" w:lineRule="auto"/>
        <w:ind w:firstLine="709"/>
        <w:jc w:val="both"/>
      </w:pPr>
      <w:r>
        <w:t>A nova gestão também reconheceu que a experiência prática dos funcionários era um ativo valioso, mas que precisava ser complem</w:t>
      </w:r>
      <w:r>
        <w:t xml:space="preserve">entada por uma formação técnica mais sólida (COSTA et al., 2019). Nesse sentido, parcerias com instituições de ensino e cursos online foram fundamentais para capacitar a equipe de forma acessível e flexível. Essas iniciativas visaram não apenas aumentar a </w:t>
      </w:r>
      <w:r>
        <w:t>competência técnica, mas também proporcionar maior confiança aos colaboradores, especialmente àqueles que assumiram novas responsabilidades (SILVA; LOPES; PEREIRA, 2019).</w:t>
      </w:r>
    </w:p>
    <w:p w14:paraId="361CFE4D" w14:textId="77777777" w:rsidR="00643609" w:rsidRDefault="000651AA">
      <w:pPr>
        <w:spacing w:after="0" w:line="360" w:lineRule="auto"/>
        <w:ind w:firstLine="709"/>
        <w:jc w:val="both"/>
      </w:pPr>
      <w:r>
        <w:t>Além dos treinamentos técnicos, foram promovidas atividades voltadas para o desenvolv</w:t>
      </w:r>
      <w:r>
        <w:t>imento de habilidades interpessoais e de gestão. Dinâmicas de grupo e reuniões de feedback foram utilizadas para fortalecer o trabalho em equipe, melhorar a comunicação interna e criar um ambiente de colaboração. Essas ações ajudaram a construir um senso d</w:t>
      </w:r>
      <w:r>
        <w:t>e pertencimento entre os colaboradores, essencial para enfrentar os desafios da transição.</w:t>
      </w:r>
    </w:p>
    <w:p w14:paraId="115492E3" w14:textId="77777777" w:rsidR="00643609" w:rsidRDefault="000651AA">
      <w:pPr>
        <w:spacing w:after="0" w:line="360" w:lineRule="auto"/>
        <w:ind w:firstLine="709"/>
        <w:jc w:val="both"/>
      </w:pPr>
      <w:r>
        <w:lastRenderedPageBreak/>
        <w:t>A nova liderança também passou a adotar reuniões regulares para avaliar o desempenho e o progresso da equipe. Nessas reuniões, foram estabelecidos indicadores de des</w:t>
      </w:r>
      <w:r>
        <w:t>empenho e metas claras, criando uma cultura de aprendizado contínuo. A transparência sobre o impacto dos esforços individuais e coletivos no sucesso do escritório foi uma motivação adicional para os funcionários se dedicarem ao aprimoramento constante.</w:t>
      </w:r>
    </w:p>
    <w:p w14:paraId="7493C9CE" w14:textId="77777777" w:rsidR="00643609" w:rsidRDefault="000651AA">
      <w:pPr>
        <w:spacing w:after="0" w:line="360" w:lineRule="auto"/>
        <w:ind w:firstLine="709"/>
        <w:jc w:val="both"/>
      </w:pPr>
      <w:r>
        <w:t>Por</w:t>
      </w:r>
      <w:r>
        <w:t xml:space="preserve"> fim, a implementação de uma política de incentivo ao crescimento profissional foi uma estratégia que consolidou o compromisso do escritório com o desenvolvimento da equipe. O financiamento parcial de cursos e certificações, bem como a possibilidade de asc</w:t>
      </w:r>
      <w:r>
        <w:t>ensão na estrutura organizacional, reforçou o vínculo dos colaboradores com a empresa e reduziu a rotatividade, criando um ambiente mais estável e propício ao crescimento (COSTA et al., 2019).</w:t>
      </w:r>
    </w:p>
    <w:p w14:paraId="64B1DEA4" w14:textId="77777777" w:rsidR="00643609" w:rsidRDefault="000651AA">
      <w:pPr>
        <w:spacing w:after="0" w:line="360" w:lineRule="auto"/>
        <w:ind w:firstLine="709"/>
        <w:jc w:val="both"/>
      </w:pPr>
      <w:r>
        <w:t xml:space="preserve">A qualificação e o treinamento da equipe não apenas permitiram </w:t>
      </w:r>
      <w:r>
        <w:t>a continuidade dos serviços do escritório, mas também criaram um diferencial competitivo no mercado. Com uma equipe mais preparada e alinhada aos objetivos organizacionais, o escritório conseguiu oferecer serviços de maior qualidade, fortalecer sua reputaç</w:t>
      </w:r>
      <w:r>
        <w:t>ão e abrir caminho para um crescimento sustentável.</w:t>
      </w:r>
    </w:p>
    <w:p w14:paraId="16B72EB2" w14:textId="77777777" w:rsidR="00643609" w:rsidRDefault="000651AA">
      <w:pPr>
        <w:keepNext/>
        <w:spacing w:before="360" w:after="240" w:line="360" w:lineRule="auto"/>
      </w:pPr>
      <w:r>
        <w:rPr>
          <w:b/>
        </w:rPr>
        <w:t>5 ANÁLISE E DISCUSSÃO DOS RESULTADOS</w:t>
      </w:r>
    </w:p>
    <w:p w14:paraId="0C871279" w14:textId="77777777" w:rsidR="00643609" w:rsidRDefault="000651AA">
      <w:pPr>
        <w:spacing w:after="0" w:line="360" w:lineRule="auto"/>
        <w:ind w:firstLine="709"/>
        <w:jc w:val="both"/>
      </w:pPr>
      <w:r>
        <w:t xml:space="preserve">Os resultados da pesquisa indicam que a transição de liderança e a reorganização dos processos no escritório de contabilidade familiar constituíram um momento crítico </w:t>
      </w:r>
      <w:r>
        <w:t>para a continuidade das atividades.</w:t>
      </w:r>
    </w:p>
    <w:p w14:paraId="34DC5B17" w14:textId="77777777" w:rsidR="00643609" w:rsidRDefault="000651AA">
      <w:pPr>
        <w:spacing w:after="0" w:line="360" w:lineRule="auto"/>
        <w:ind w:firstLine="709"/>
        <w:jc w:val="both"/>
      </w:pPr>
      <w:r>
        <w:t>O falecimento do fundador, que centralizava as decisões e detinha grande parte do conhecimento operacional, revelou a vulnerabilidade gerencial de pequenas empresas dependentes de lideranças únicas. Conforme Oliveira e S</w:t>
      </w:r>
      <w:r>
        <w:t>antos (2020), a centralização excessiva dificulta a sucessão e a adaptação às mudanças, criando obstáculos para a sobrevivência do negócio em momentos de crise.</w:t>
      </w:r>
    </w:p>
    <w:p w14:paraId="049F3E80" w14:textId="77777777" w:rsidR="00643609" w:rsidRDefault="000651AA">
      <w:pPr>
        <w:spacing w:after="0" w:line="360" w:lineRule="auto"/>
        <w:ind w:firstLine="709"/>
        <w:jc w:val="both"/>
      </w:pPr>
      <w:r>
        <w:t>A análise do caso demonstrou que a filha do fundador, inicialmente sem experiência prática e ai</w:t>
      </w:r>
      <w:r>
        <w:t>nda em formação acadêmica na área contábil, assumiu a liderança e implementou estratégias focadas na reorganização estrutural, qualificação da equipe e modernização dos processos (Silva; Lopes; Pereira, 2019). Esses resultados corroboram Silva et al. (2019</w:t>
      </w:r>
      <w:r>
        <w:t xml:space="preserve">), que destacam a importância da </w:t>
      </w:r>
      <w:r>
        <w:lastRenderedPageBreak/>
        <w:t>capacitação e da divisão de responsabilidades como pilares para a resiliência e continuidade de empresas familiares.</w:t>
      </w:r>
    </w:p>
    <w:p w14:paraId="6C2D705E" w14:textId="77777777" w:rsidR="00643609" w:rsidRDefault="000651AA">
      <w:pPr>
        <w:spacing w:after="0" w:line="360" w:lineRule="auto"/>
        <w:ind w:firstLine="709"/>
        <w:jc w:val="both"/>
      </w:pPr>
      <w:r>
        <w:t>A reorganização dos departamentos pessoal, contábil e fiscal foi identificada como um passo essencial para</w:t>
      </w:r>
      <w:r>
        <w:t xml:space="preserve"> a retomada da estabilidade do escritório. A nova gestão delegou tarefas e estabeleceu processos claros e documentados, conforme sugerem Almeida e Lopes (2021), reduzindo a dependência de uma única pessoa. Essa reorganização possibilitou, ainda, a implemen</w:t>
      </w:r>
      <w:r>
        <w:t>tação de tecnologias que otimizaram a execução de tarefas (Silva; Lopes; Pereira, 2019).</w:t>
      </w:r>
    </w:p>
    <w:p w14:paraId="263CA502" w14:textId="77777777" w:rsidR="00643609" w:rsidRDefault="000651AA">
      <w:pPr>
        <w:spacing w:after="0" w:line="360" w:lineRule="auto"/>
        <w:ind w:firstLine="709"/>
        <w:jc w:val="both"/>
      </w:pPr>
      <w:r>
        <w:t>Em um depoimento de um entrevistado, o mesmo relatou que</w:t>
      </w:r>
      <w:r>
        <w:rPr>
          <w:i/>
        </w:rPr>
        <w:t xml:space="preserve"> a adaptação da família aos novos processos trouxe desafios emocionais e operacionais, mas também oportunidades</w:t>
      </w:r>
      <w:r>
        <w:rPr>
          <w:i/>
        </w:rPr>
        <w:t xml:space="preserve"> de aprendizado e inovação</w:t>
      </w:r>
      <w:r>
        <w:t>. A união familiar mostrou-se fundamental para superar a fase inicial de crise, confirmando as observações de Ferreira et al. (2018), que apontam a coesão familiar como diferencial estratégico em empresas familiares. No entanto, e</w:t>
      </w:r>
      <w:r>
        <w:t>quilibrar emoções com decisões racionais exigiu o desenvolvimento de competências gerenciais e técnicas pelos novos gestores.</w:t>
      </w:r>
    </w:p>
    <w:p w14:paraId="7F931610" w14:textId="77777777" w:rsidR="00643609" w:rsidRDefault="000651AA">
      <w:pPr>
        <w:spacing w:after="0" w:line="360" w:lineRule="auto"/>
        <w:ind w:firstLine="709"/>
        <w:jc w:val="both"/>
      </w:pPr>
      <w:r>
        <w:t>A distribuição de responsabilidades foi outra estratégia central, permitindo maior eficiência operacional e reduzindo a sobrecarga</w:t>
      </w:r>
      <w:r>
        <w:t xml:space="preserve"> sobre a nova gestora. Conforme Costa e Ribeiro (2022), a descentralização de tarefas e o fortalecimento do trabalho em equipe são fundamentais em processos de transição de liderança. A formação de lideranças intermediárias nos departamentos assegurou que </w:t>
      </w:r>
      <w:r>
        <w:t>as operações diárias fossem mantidas sem interrupções (Silva; Lopes; Pereira, 2019).</w:t>
      </w:r>
    </w:p>
    <w:p w14:paraId="48C269EF" w14:textId="77777777" w:rsidR="00643609" w:rsidRDefault="000651AA">
      <w:pPr>
        <w:spacing w:after="0" w:line="360" w:lineRule="auto"/>
        <w:ind w:firstLine="709"/>
        <w:jc w:val="both"/>
      </w:pPr>
      <w:r>
        <w:t>No que tange à retenção e conquista de clientes, a pesquisa evidenciou que comunicação transparente e modernização dos serviços foram fatores determinantes para a manutenç</w:t>
      </w:r>
      <w:r>
        <w:t xml:space="preserve">ão da base de clientes. Oliveira (2019) destaca que, em um mercado competitivo, a personalização do atendimento e o uso de tecnologia para agregar valor aos serviços aumentam a fidelidade e atraem novos clientes. Esforços em marketing digital e networking </w:t>
      </w:r>
      <w:r>
        <w:t>refletem mudanças estratégicas alinhadas às tendências do setor contábil (Costa et al., 2019).</w:t>
      </w:r>
    </w:p>
    <w:p w14:paraId="6566D50E" w14:textId="77777777" w:rsidR="00643609" w:rsidRDefault="000651AA">
      <w:pPr>
        <w:spacing w:after="0" w:line="360" w:lineRule="auto"/>
        <w:ind w:firstLine="709"/>
        <w:jc w:val="both"/>
      </w:pPr>
      <w:r>
        <w:t>A qualificação e o treinamento da equipe revelaram-se cruciais para o sucesso da transição. Souza e Gomes (2020) enfatizam que a capacitação contínua é indispens</w:t>
      </w:r>
      <w:r>
        <w:t>ável para a competitividade das empresas. A nova gestora conseguiu criar um ambiente de aprendizado, fortalecendo competências técnicas e interpessoais, o que aumentou confiança e produtividade (Costa et al., 2019).</w:t>
      </w:r>
    </w:p>
    <w:p w14:paraId="3508751F" w14:textId="77777777" w:rsidR="00643609" w:rsidRDefault="000651AA">
      <w:pPr>
        <w:spacing w:after="0" w:line="360" w:lineRule="auto"/>
        <w:ind w:firstLine="709"/>
        <w:jc w:val="both"/>
      </w:pPr>
      <w:r>
        <w:rPr>
          <w:i/>
        </w:rPr>
        <w:lastRenderedPageBreak/>
        <w:t>A gestão da informação e do conhecimento</w:t>
      </w:r>
      <w:r>
        <w:rPr>
          <w:i/>
        </w:rPr>
        <w:t xml:space="preserve"> emergiu como ponto crítico durante a transição</w:t>
      </w:r>
      <w:r>
        <w:t>, relatado por outro entrevistado. A ausência de registros claros e documentação detalhada gerou dificuldades iniciais, mas também serviu como aprendizado para a nova administração. Nonaka e Takeuchi (1997) de</w:t>
      </w:r>
      <w:r>
        <w:t>fendem a criação de sistemas de gestão do conhecimento para transformar saber tácito em explícito, reduzindo dependência de indivíduos e garantindo continuidade organizacional.</w:t>
      </w:r>
    </w:p>
    <w:p w14:paraId="2081E37B" w14:textId="77777777" w:rsidR="00643609" w:rsidRDefault="000651AA">
      <w:pPr>
        <w:spacing w:after="0" w:line="360" w:lineRule="auto"/>
        <w:ind w:firstLine="709"/>
        <w:jc w:val="both"/>
      </w:pPr>
      <w:r>
        <w:t>Embora os desafios enfrentados tenham sido significativos, as estratégias imple</w:t>
      </w:r>
      <w:r>
        <w:t>mentadas mostraram-se eficazes para a recuperação e fortalecimento do escritório. A combinação de reorganização interna, qualificação da equipe e uso de tecnologia alinhou-se às boas práticas recomendadas na literatura (Silva et al., 2019; Oliveira, 2019),</w:t>
      </w:r>
      <w:r>
        <w:t xml:space="preserve"> reafirmando a importância da resiliência e capacidade de adaptação das empresas familiares.</w:t>
      </w:r>
    </w:p>
    <w:p w14:paraId="3200A885" w14:textId="77777777" w:rsidR="00643609" w:rsidRDefault="000651AA">
      <w:pPr>
        <w:spacing w:after="0" w:line="360" w:lineRule="auto"/>
        <w:ind w:firstLine="709"/>
        <w:jc w:val="both"/>
      </w:pPr>
      <w:r>
        <w:t>Apesar dos avanços, algumas contradições foram identificadas. A centralização das decisões estratégicas na nova gestora, embora tenha proporcionado maior controle,</w:t>
      </w:r>
      <w:r>
        <w:t xml:space="preserve"> gerou sobrecarga e retardou a autonomia dos líderes de setor. Além disso, a integração entre departamentos, embora formalmente melhorada, ainda apresentou ruídos de comunicação e falhas no compartilhamento de dados, indicando necessidade de investimentos </w:t>
      </w:r>
      <w:r>
        <w:t>em sistemas integrados de gestão.</w:t>
      </w:r>
    </w:p>
    <w:p w14:paraId="5E4DD10E" w14:textId="77777777" w:rsidR="00643609" w:rsidRDefault="000651AA">
      <w:pPr>
        <w:spacing w:after="0" w:line="360" w:lineRule="auto"/>
        <w:ind w:firstLine="709"/>
        <w:jc w:val="both"/>
      </w:pPr>
      <w:r>
        <w:rPr>
          <w:i/>
        </w:rPr>
        <w:t>A condição da nova gestora — em formação acadêmica e com experiência limitada — evidenciou lacunas técnicas, aumentando a dependência de consultores externos, o que elevou custos e expôs fragilidades na retenção de know-ho</w:t>
      </w:r>
      <w:r>
        <w:rPr>
          <w:i/>
        </w:rPr>
        <w:t>w</w:t>
      </w:r>
      <w:r>
        <w:t>, relato de um entrevistado. A formalização de processos trouxe previsibilidade, mas reduziu flexibilidade frente a demandas urgentes ou fora do padrão.</w:t>
      </w:r>
    </w:p>
    <w:p w14:paraId="6A59DEA6" w14:textId="77777777" w:rsidR="00643609" w:rsidRDefault="000651AA">
      <w:pPr>
        <w:spacing w:after="0" w:line="360" w:lineRule="auto"/>
        <w:ind w:firstLine="709"/>
        <w:jc w:val="both"/>
      </w:pPr>
      <w:r>
        <w:t>Em relação à gestão de clientes, apesar de avanços em comunicação e fidelização, não se observou cresc</w:t>
      </w:r>
      <w:r>
        <w:t>imento proporcional na base de novos clientes, sugerindo que a energia foi mais concentrada na manutenção do que na prospecção, o que pode representar risco à sustentabilidade futura. Além disso, a ausência de indicadores quantitativos básicos, como número</w:t>
      </w:r>
      <w:r>
        <w:t xml:space="preserve"> de clientes, índice de retenção ou tempo médio de execução dos serviços, limita a robustez do estudo, tornando parte das conclusões dependente de interpretações subjetivas (Severino, 2016).</w:t>
      </w:r>
    </w:p>
    <w:p w14:paraId="14BF7AF9" w14:textId="77777777" w:rsidR="00643609" w:rsidRDefault="000651AA">
      <w:pPr>
        <w:spacing w:after="0" w:line="360" w:lineRule="auto"/>
        <w:ind w:firstLine="709"/>
        <w:jc w:val="both"/>
      </w:pPr>
      <w:r>
        <w:lastRenderedPageBreak/>
        <w:t>Ainda assim, mesmo diante de limitações, a família conseguiu impl</w:t>
      </w:r>
      <w:r>
        <w:t>ementar melhorias significativas na organização interna e no uso de ferramentas de controle, indicando potencial de crescimento futuro mediante uma gestão estratégica mais profissionalizada.</w:t>
      </w:r>
    </w:p>
    <w:p w14:paraId="10DD4ED1" w14:textId="77777777" w:rsidR="00643609" w:rsidRDefault="000651AA">
      <w:pPr>
        <w:keepNext/>
        <w:spacing w:before="360" w:after="240" w:line="360" w:lineRule="auto"/>
      </w:pPr>
      <w:r>
        <w:rPr>
          <w:b/>
        </w:rPr>
        <w:t>6 CONSIDERAÇÕES FINAIS</w:t>
      </w:r>
    </w:p>
    <w:p w14:paraId="15256FC9" w14:textId="77777777" w:rsidR="00643609" w:rsidRDefault="000651AA">
      <w:pPr>
        <w:spacing w:after="0" w:line="360" w:lineRule="auto"/>
        <w:ind w:firstLine="709"/>
        <w:jc w:val="both"/>
      </w:pPr>
      <w:r>
        <w:t xml:space="preserve">A presente pesquisa teve como </w:t>
      </w:r>
      <w:r>
        <w:t>objetivo analisar os impactos da sucessão empresarial em um escritório de contabilidade familiar, com enfoque na reorganização dos departamentos, na redistribuição de responsabilidades e nos desafios enfrentados na adaptação a uma nova gestão. O estudo foi</w:t>
      </w:r>
      <w:r>
        <w:t xml:space="preserve"> desenvolvido a partir de revisão de literatura sobre gestão em pequenas empresas, sucessão em negócios familiares e organização de processos contábeis, complementada por um estudo de caso que ilustrou os efeitos práticos reais dessas transformações.</w:t>
      </w:r>
    </w:p>
    <w:p w14:paraId="583E2CE9" w14:textId="77777777" w:rsidR="00643609" w:rsidRDefault="000651AA">
      <w:pPr>
        <w:spacing w:after="0" w:line="360" w:lineRule="auto"/>
        <w:ind w:firstLine="709"/>
        <w:jc w:val="both"/>
      </w:pPr>
      <w:r>
        <w:t>Obser</w:t>
      </w:r>
      <w:r>
        <w:t>vou-se que a centralização da gestão na figura do fundador constituía um traço marcante da empresa, o que, apesar de inicialmente garantir agilidade nas decisões, dificultou a transição para a nova liderança. A filha do fundador, ainda estudante de Ciência</w:t>
      </w:r>
      <w:r>
        <w:t>s Contábeis, assumiu a direção da empresa sem experiência gerencial prévia, tornando o processo de reorganização mais complexo e exigindo dela um rápido desenvolvimento de competências profissionais.</w:t>
      </w:r>
    </w:p>
    <w:p w14:paraId="644DDE01" w14:textId="77777777" w:rsidR="00643609" w:rsidRDefault="000651AA">
      <w:pPr>
        <w:spacing w:after="0" w:line="360" w:lineRule="auto"/>
        <w:ind w:firstLine="709"/>
        <w:jc w:val="both"/>
      </w:pPr>
      <w:r>
        <w:t>A reorganização dos departamentos mostrou-se fundamental</w:t>
      </w:r>
      <w:r>
        <w:t xml:space="preserve"> para a continuidade das atividades do escritório. Os setores contábil, fiscal e pessoal foram reestruturados, com definição de novas atribuições, padronização de processos e investimento em tecnologia. Nesse contexto, a gestão da informação e do conhecime</w:t>
      </w:r>
      <w:r>
        <w:t>nto emergiu como pilar essencial para compensar a ausência do fundador e preservar a memória organizacional do escritório.</w:t>
      </w:r>
    </w:p>
    <w:p w14:paraId="1A4AB3C4" w14:textId="77777777" w:rsidR="00643609" w:rsidRDefault="000651AA">
      <w:pPr>
        <w:spacing w:after="0" w:line="360" w:lineRule="auto"/>
        <w:ind w:firstLine="709"/>
        <w:jc w:val="both"/>
      </w:pPr>
      <w:r>
        <w:t>A distribuição de responsabilidades revelou-se estratégica para reduzir a sobrecarga da nova gestora e estimular o engajamento da equ</w:t>
      </w:r>
      <w:r>
        <w:t>ipe. A criação de lideranças intermediárias em cada setor favoreceu uma gestão mais colaborativa e a descentralização de tarefas essenciais, promovendo um ambiente de trabalho participativo e eficiente.</w:t>
      </w:r>
    </w:p>
    <w:p w14:paraId="3EDF3328" w14:textId="77777777" w:rsidR="00643609" w:rsidRDefault="000651AA">
      <w:pPr>
        <w:spacing w:after="0" w:line="360" w:lineRule="auto"/>
        <w:ind w:firstLine="709"/>
        <w:jc w:val="both"/>
      </w:pPr>
      <w:r>
        <w:t>Entretanto, desafios significativos se impuseram, inc</w:t>
      </w:r>
      <w:r>
        <w:t xml:space="preserve">luindo resistência à mudança por parte de colaboradores antigos, insegurança na tomada de decisões e a necessidade de conquistar a confiança dos clientes. A retenção da carteira de </w:t>
      </w:r>
      <w:r>
        <w:lastRenderedPageBreak/>
        <w:t>clientes e a captação de novos contratos demandaram comunicação proativa al</w:t>
      </w:r>
      <w:r>
        <w:t>iada à melhoria contínua da qualidade dos serviços prestados.</w:t>
      </w:r>
    </w:p>
    <w:p w14:paraId="13BA4DEA" w14:textId="77777777" w:rsidR="00643609" w:rsidRDefault="000651AA">
      <w:pPr>
        <w:spacing w:after="0" w:line="360" w:lineRule="auto"/>
        <w:ind w:firstLine="709"/>
        <w:jc w:val="both"/>
      </w:pPr>
      <w:r>
        <w:t xml:space="preserve">A qualificação e o treinamento da equipe desempenharam papel central na consolidação da nova fase do escritório. Investimentos em capacitação técnica, desenvolvimento de habilidades </w:t>
      </w:r>
      <w:r>
        <w:t>interpessoais e treinamentos em sistemas contábeis modernos foram essenciais para garantir a atualização e competitividade da empresa. A valorização dos colaboradores contribuiu para reduzir a rotatividade e fortalecer o vínculo com a organização.</w:t>
      </w:r>
    </w:p>
    <w:p w14:paraId="6D4BCF50" w14:textId="77777777" w:rsidR="00643609" w:rsidRDefault="000651AA">
      <w:pPr>
        <w:spacing w:after="0" w:line="360" w:lineRule="auto"/>
        <w:ind w:firstLine="709"/>
        <w:jc w:val="both"/>
      </w:pPr>
      <w:r>
        <w:t>Constato</w:t>
      </w:r>
      <w:r>
        <w:t xml:space="preserve">u-se, ao longo do processo, que a organização dos processos contábeis constitui fator determinante para a sustentabilidade de um escritório de contabilidade familiar. A padronização de rotinas, a clareza nas atribuições e o uso de ferramentas tecnológicas </w:t>
      </w:r>
      <w:r>
        <w:t>de apoio à gestão aumentaram a produtividade e reforçaram a confiança de clientes e parceiros.</w:t>
      </w:r>
    </w:p>
    <w:p w14:paraId="105D30F1" w14:textId="77777777" w:rsidR="00643609" w:rsidRDefault="000651AA">
      <w:pPr>
        <w:spacing w:after="0" w:line="360" w:lineRule="auto"/>
        <w:ind w:firstLine="709"/>
        <w:jc w:val="both"/>
      </w:pPr>
      <w:r>
        <w:t>Quanto às limitações da pesquisa, destacam-se a abrangência e generalização de seus resultados, por se concentrar em um único escritório contábil familiar de peq</w:t>
      </w:r>
      <w:r>
        <w:t>ueno porte, tendo o recorte restrito, impedindo assim, extrapolar os achados para outros escritórios com características distintas, sejam de médio ou grande porte, ou com estrutura administrativa não familiar. E outras limitações foram o acesso a determina</w:t>
      </w:r>
      <w:r>
        <w:t>das informações internas, especialmente aquelas consideradas estratégicas ou sensíveis pela gestão, o que pode ter restringido a análise em alguns aspectos operacionais; e os dados obtidos por entrevistas com membros da própria família que gerenciam o escr</w:t>
      </w:r>
      <w:r>
        <w:t>itório, existindo a possibilidade de viés nas respostas, devido à preservação da imagem da empresa ou limitações de autocrítica.</w:t>
      </w:r>
    </w:p>
    <w:p w14:paraId="622B5136" w14:textId="77777777" w:rsidR="00643609" w:rsidRDefault="000651AA">
      <w:pPr>
        <w:spacing w:after="0" w:line="360" w:lineRule="auto"/>
        <w:ind w:firstLine="709"/>
        <w:jc w:val="both"/>
      </w:pPr>
      <w:r>
        <w:t>Por fim, a adaptação da empresa à nova liderança, embora desafiadora, foi viabilizada por meio de reorganização estrutural, des</w:t>
      </w:r>
      <w:r>
        <w:t xml:space="preserve">envolvimento de competências e profissionalização da gestão. A pesquisa reforça a importância de sucessão planejada em empresas familiares, descentralização da gestão e adoção de práticas administrativas modernas como caminhos para garantir a continuidade </w:t>
      </w:r>
      <w:r>
        <w:t>e o crescimento sustentável do negócio. Esses aprendizados podem servir de referência para outras pequenas empresas em processos similares de transição e transformação. Como sugestões para novas pesquisas, pode-se apresentar como objeto de estudo, os desaf</w:t>
      </w:r>
      <w:r>
        <w:t xml:space="preserve">ios da sucessão familiar em escritório de contabilidade, </w:t>
      </w:r>
      <w:r>
        <w:lastRenderedPageBreak/>
        <w:t>assim como, o desenvolvimento de um planejamento estratégico em um escritório de contabilidade familiar para aberturas de filiais.</w:t>
      </w:r>
    </w:p>
    <w:p w14:paraId="32D75F48" w14:textId="77777777" w:rsidR="00643609" w:rsidRDefault="000651AA">
      <w:pPr>
        <w:keepNext/>
        <w:spacing w:before="360" w:after="240" w:line="240" w:lineRule="auto"/>
      </w:pPr>
      <w:r>
        <w:rPr>
          <w:b/>
        </w:rPr>
        <w:t>REFERÊNCIAS</w:t>
      </w:r>
    </w:p>
    <w:p w14:paraId="0B6F1EC2" w14:textId="77777777" w:rsidR="00643609" w:rsidRDefault="000651AA">
      <w:pPr>
        <w:spacing w:after="0" w:line="240" w:lineRule="auto"/>
        <w:jc w:val="both"/>
      </w:pPr>
      <w:r>
        <w:t>ALMEIDA, J.; LOPES, F. Gestão de empresas familiares: de</w:t>
      </w:r>
      <w:r>
        <w:t>safios e práticas para a</w:t>
      </w:r>
    </w:p>
    <w:p w14:paraId="40FBA489" w14:textId="77777777" w:rsidR="00643609" w:rsidRDefault="000651AA">
      <w:pPr>
        <w:spacing w:after="240" w:line="240" w:lineRule="auto"/>
      </w:pPr>
      <w:r>
        <w:t>sucessão empresarial.</w:t>
      </w:r>
      <w:r>
        <w:rPr>
          <w:i/>
        </w:rPr>
        <w:t xml:space="preserve"> Revista de Administração</w:t>
      </w:r>
      <w:r>
        <w:t>, v. 10, n. 2, p. 45-60, 2021.</w:t>
      </w:r>
    </w:p>
    <w:p w14:paraId="10E3EE1E" w14:textId="77777777" w:rsidR="00643609" w:rsidRDefault="000651AA">
      <w:pPr>
        <w:spacing w:after="240" w:line="240" w:lineRule="auto"/>
      </w:pPr>
      <w:r>
        <w:t>BIAVA JÚNIOR, R. Contabilização do ICMS – Substituição Tributária e a qualidade das informações contábeis nas demonstrações financeiras.</w:t>
      </w:r>
      <w:r>
        <w:rPr>
          <w:i/>
        </w:rPr>
        <w:t xml:space="preserve"> Revista de Direit</w:t>
      </w:r>
      <w:r>
        <w:rPr>
          <w:i/>
        </w:rPr>
        <w:t>o Contábil Fiscal</w:t>
      </w:r>
      <w:r>
        <w:t>, v. 6, n. 12, p. 295-314, out./nov. 2024.</w:t>
      </w:r>
    </w:p>
    <w:p w14:paraId="1332C048" w14:textId="77777777" w:rsidR="00643609" w:rsidRDefault="000651AA">
      <w:pPr>
        <w:spacing w:after="240" w:line="240" w:lineRule="auto"/>
      </w:pPr>
      <w:r>
        <w:t>CHAVES, G. A. O desafio de gestão de uma empresa familiar.</w:t>
      </w:r>
      <w:r>
        <w:rPr>
          <w:i/>
        </w:rPr>
        <w:t xml:space="preserve"> Revista Mundi Engenharia, Tecnologia e Gestão</w:t>
      </w:r>
      <w:r>
        <w:t>, v. 5, n. 5, p. 260-26014, 2020.</w:t>
      </w:r>
    </w:p>
    <w:p w14:paraId="1D07334B" w14:textId="77777777" w:rsidR="00643609" w:rsidRDefault="000651AA">
      <w:pPr>
        <w:spacing w:after="240" w:line="240" w:lineRule="auto"/>
      </w:pPr>
      <w:r>
        <w:t>COSTA, L. S. P. et al. De pai para filho: a sucessão em pe</w:t>
      </w:r>
      <w:r>
        <w:t>quenas e médias empresas familiares.</w:t>
      </w:r>
      <w:r>
        <w:rPr>
          <w:i/>
        </w:rPr>
        <w:t xml:space="preserve"> Contabilidade, Gestão e Governança</w:t>
      </w:r>
      <w:r>
        <w:t>, Brasília, v. 18, n. 1, p. 61-68, jan./abr. 2019.</w:t>
      </w:r>
    </w:p>
    <w:p w14:paraId="3847935F" w14:textId="77777777" w:rsidR="00643609" w:rsidRDefault="000651AA">
      <w:pPr>
        <w:spacing w:after="240" w:line="240" w:lineRule="auto"/>
      </w:pPr>
      <w:r>
        <w:t>COSTA, R.; RIBEIRO, M. Estratégias de resiliência em pequenas empresas familiares.</w:t>
      </w:r>
      <w:r>
        <w:rPr>
          <w:i/>
        </w:rPr>
        <w:t xml:space="preserve"> Estudos Organizacionais</w:t>
      </w:r>
      <w:r>
        <w:t>, v. 15, n. 1, p. 78-92, 202</w:t>
      </w:r>
      <w:r>
        <w:t>2.</w:t>
      </w:r>
    </w:p>
    <w:p w14:paraId="2CED7629" w14:textId="77777777" w:rsidR="00643609" w:rsidRDefault="000651AA">
      <w:pPr>
        <w:spacing w:after="240" w:line="240" w:lineRule="auto"/>
      </w:pPr>
      <w:r>
        <w:t>ELLIS, C.; ADAMS, T. E.; BOCHNER, A. P. Autoethnography: an overview.</w:t>
      </w:r>
      <w:r>
        <w:rPr>
          <w:i/>
        </w:rPr>
        <w:t xml:space="preserve"> Forum Qualitative Sozialforschung / Forum: Qualitative Social Research</w:t>
      </w:r>
      <w:r>
        <w:t>, v. 12, n. 1, art. 10, 2011.</w:t>
      </w:r>
    </w:p>
    <w:p w14:paraId="2CDAC3C9" w14:textId="77777777" w:rsidR="00643609" w:rsidRDefault="000651AA">
      <w:pPr>
        <w:spacing w:after="240" w:line="240" w:lineRule="auto"/>
      </w:pPr>
      <w:r>
        <w:t xml:space="preserve">FERREIRA, A.; SANTOS, L.; PEREIRA, T. A importância da coesão familiar em empresas </w:t>
      </w:r>
      <w:r>
        <w:t>familiares.</w:t>
      </w:r>
      <w:r>
        <w:rPr>
          <w:i/>
        </w:rPr>
        <w:t xml:space="preserve"> Gestão &amp; Sociedade</w:t>
      </w:r>
      <w:r>
        <w:t>, v. 12, n. 3, p. 89-104, 2018.</w:t>
      </w:r>
    </w:p>
    <w:p w14:paraId="5F95B508" w14:textId="77777777" w:rsidR="00643609" w:rsidRDefault="000651AA">
      <w:pPr>
        <w:spacing w:after="240" w:line="240" w:lineRule="auto"/>
      </w:pPr>
      <w:r>
        <w:t>KUHN, M. C.; KAFER, S. E. Estudo de demanda por novos serviços em um escritório de contabilidade do interior do RS.</w:t>
      </w:r>
      <w:r>
        <w:rPr>
          <w:i/>
        </w:rPr>
        <w:t xml:space="preserve"> Revista Thema</w:t>
      </w:r>
      <w:r>
        <w:t>, Pelotas, v. 23, n. 1, p. 41-60, 2024.</w:t>
      </w:r>
    </w:p>
    <w:p w14:paraId="0D4EEAE5" w14:textId="77777777" w:rsidR="00643609" w:rsidRDefault="000651AA">
      <w:pPr>
        <w:spacing w:after="240" w:line="240" w:lineRule="auto"/>
      </w:pPr>
      <w:r>
        <w:t>LIMA, G.; CARVALHO, T. Fr</w:t>
      </w:r>
      <w:r>
        <w:t>audes contábeis e a importância do controle interno nas empresas brasileiras.</w:t>
      </w:r>
      <w:r>
        <w:rPr>
          <w:i/>
        </w:rPr>
        <w:t xml:space="preserve"> Revista de Auditoria e Contabilidade</w:t>
      </w:r>
      <w:r>
        <w:t>, v. 8, n. 4, p. 99-112, 2019.</w:t>
      </w:r>
    </w:p>
    <w:p w14:paraId="279617C1" w14:textId="77777777" w:rsidR="00643609" w:rsidRDefault="000651AA">
      <w:pPr>
        <w:spacing w:after="240" w:line="240" w:lineRule="auto"/>
      </w:pPr>
      <w:r>
        <w:t>MATOS, A. O. et al. Holding como forma de planejamento sucessório patrimonial e familiar. 2022. Trabalho de Con</w:t>
      </w:r>
      <w:r>
        <w:t>clusão de Curso (Técnico em Contabilidade) – Escola Técnica Estadual Paulista "Etec Antonio Devisate", Marília, SP, 2022.</w:t>
      </w:r>
    </w:p>
    <w:p w14:paraId="441A024F" w14:textId="77777777" w:rsidR="00643609" w:rsidRDefault="000651AA">
      <w:pPr>
        <w:spacing w:after="240" w:line="240" w:lineRule="auto"/>
      </w:pPr>
      <w:r>
        <w:t>MARTINS, S. M.; SILVA, E. A. O processo de departamentalização nos escritórios de contabilidade.</w:t>
      </w:r>
      <w:r>
        <w:rPr>
          <w:i/>
        </w:rPr>
        <w:t xml:space="preserve"> ALTUS Ciência</w:t>
      </w:r>
      <w:r>
        <w:t>, v. 15, n. 15, ago./dez</w:t>
      </w:r>
      <w:r>
        <w:t>. 2022.</w:t>
      </w:r>
    </w:p>
    <w:p w14:paraId="34D75735" w14:textId="77777777" w:rsidR="00643609" w:rsidRDefault="000651AA">
      <w:pPr>
        <w:spacing w:after="240" w:line="240" w:lineRule="auto"/>
      </w:pPr>
      <w:r>
        <w:t>MELLO, M. M. M. et al. Proposta de intervenções para melhorias na gestão de uma microempresa de prestação de serviços contábeis.</w:t>
      </w:r>
      <w:r>
        <w:rPr>
          <w:i/>
        </w:rPr>
        <w:t xml:space="preserve"> Journal of Sustainable Competitive Intelligence</w:t>
      </w:r>
      <w:r>
        <w:t>, v. 11, e0401, 2021.</w:t>
      </w:r>
    </w:p>
    <w:p w14:paraId="4439632C" w14:textId="77777777" w:rsidR="00643609" w:rsidRDefault="000651AA">
      <w:pPr>
        <w:spacing w:after="240" w:line="240" w:lineRule="auto"/>
      </w:pPr>
      <w:r>
        <w:t xml:space="preserve">MOREIRA, M. N. Percepção e desafio de </w:t>
      </w:r>
      <w:r>
        <w:t xml:space="preserve">empreendedores de pequeno porte quanto aos serviços contábeis terceirizados. 2021. 53 f. Trabalho de Conclusão de Curso </w:t>
      </w:r>
      <w:r>
        <w:lastRenderedPageBreak/>
        <w:t>(Graduação em Ciências Contábeis) – Universidade Federal de Uberlândia, Uberlândia, 2021.</w:t>
      </w:r>
    </w:p>
    <w:p w14:paraId="689E5D6F" w14:textId="77777777" w:rsidR="00643609" w:rsidRDefault="000651AA">
      <w:pPr>
        <w:spacing w:after="240" w:line="240" w:lineRule="auto"/>
      </w:pPr>
      <w:r>
        <w:t>NASCIMENTO, P.; ALVES, R.; MARTINS, S. Eficiên</w:t>
      </w:r>
      <w:r>
        <w:t>cia contábil e a competitividade empresarial: um estudo sobre a relação entre controle financeiro e sucesso organizacional.</w:t>
      </w:r>
      <w:r>
        <w:rPr>
          <w:i/>
        </w:rPr>
        <w:t xml:space="preserve"> Revista Brasileira de Gestão</w:t>
      </w:r>
      <w:r>
        <w:t>, v. 15, n. 1, p. 112-129, 2021.</w:t>
      </w:r>
    </w:p>
    <w:p w14:paraId="1E734BFC" w14:textId="77777777" w:rsidR="00643609" w:rsidRDefault="000651AA">
      <w:pPr>
        <w:spacing w:after="240" w:line="240" w:lineRule="auto"/>
      </w:pPr>
      <w:r>
        <w:t>NONAKA, I.; TAKEUCHI, H.</w:t>
      </w:r>
      <w:r>
        <w:rPr>
          <w:i/>
        </w:rPr>
        <w:t xml:space="preserve"> The knowledge-creating company: how Japanese c</w:t>
      </w:r>
      <w:r>
        <w:rPr>
          <w:i/>
        </w:rPr>
        <w:t>ompanies create the dynamics of innovation</w:t>
      </w:r>
      <w:r>
        <w:t>. Oxford: Oxford University Press, 1997.</w:t>
      </w:r>
    </w:p>
    <w:p w14:paraId="4836C229" w14:textId="77777777" w:rsidR="00643609" w:rsidRDefault="000651AA">
      <w:pPr>
        <w:spacing w:after="240" w:line="240" w:lineRule="auto"/>
      </w:pPr>
      <w:r>
        <w:t>OLIVEIRA, P.; SANTOS, R. O impacto da centralização na gestão de pequenas empresas.</w:t>
      </w:r>
      <w:r>
        <w:rPr>
          <w:i/>
        </w:rPr>
        <w:t xml:space="preserve"> Revista de Estudos Contábeis</w:t>
      </w:r>
      <w:r>
        <w:t>, v. 9, n. 1, p. 32-49, 2020.</w:t>
      </w:r>
    </w:p>
    <w:p w14:paraId="77C380E6" w14:textId="77777777" w:rsidR="00643609" w:rsidRDefault="000651AA">
      <w:pPr>
        <w:spacing w:after="240" w:line="240" w:lineRule="auto"/>
      </w:pPr>
      <w:r>
        <w:t>OLIVEIRA, T. Transformação digi</w:t>
      </w:r>
      <w:r>
        <w:t>tal em escritórios de contabilidade: desafios e oportunidades.</w:t>
      </w:r>
      <w:r>
        <w:rPr>
          <w:i/>
        </w:rPr>
        <w:t xml:space="preserve"> Contabilidade em Foco</w:t>
      </w:r>
      <w:r>
        <w:t>, v. 8, n. 4, p. 25-40, 2019.</w:t>
      </w:r>
    </w:p>
    <w:p w14:paraId="2234E7E0" w14:textId="77777777" w:rsidR="00643609" w:rsidRDefault="000651AA">
      <w:pPr>
        <w:spacing w:after="240" w:line="240" w:lineRule="auto"/>
      </w:pPr>
      <w:r>
        <w:t>RENGEL, R. Planejamento estratégico em um escritório de contabilidade em processo de sucessão familiar.</w:t>
      </w:r>
      <w:r>
        <w:rPr>
          <w:i/>
        </w:rPr>
        <w:t xml:space="preserve"> Revista Gestão Organizacional</w:t>
      </w:r>
      <w:r>
        <w:t>, Chapecó</w:t>
      </w:r>
      <w:r>
        <w:t>, v. 13, n. 2, p. 6-25, maio/ago. 2020.</w:t>
      </w:r>
    </w:p>
    <w:p w14:paraId="62B03AA3" w14:textId="77777777" w:rsidR="00643609" w:rsidRDefault="000651AA">
      <w:pPr>
        <w:spacing w:after="240" w:line="240" w:lineRule="auto"/>
      </w:pPr>
      <w:r>
        <w:t>RIBEIRO, B. P. et al. Gestão estratégica de recursos humanos no desenvolvimento organizacional. 2023. Trabalho de Conclusão de Curso (Curso Técnico em Administração) – Escola Técnica Estadual ETEC Tereza Aparecida Ca</w:t>
      </w:r>
      <w:r>
        <w:t>rdoso Nunes de Oliveira, São Paulo, 2023.</w:t>
      </w:r>
    </w:p>
    <w:p w14:paraId="1DC67D3F" w14:textId="77777777" w:rsidR="00643609" w:rsidRDefault="000651AA">
      <w:pPr>
        <w:spacing w:after="240" w:line="240" w:lineRule="auto"/>
      </w:pPr>
      <w:r>
        <w:t>SANTOS, G. S.; ASSIS, P. R. de. O perfil do empreendedor contábil: estudo de caso no escritório de contabilidade de Vila Velha, ES.</w:t>
      </w:r>
      <w:r>
        <w:rPr>
          <w:i/>
        </w:rPr>
        <w:t xml:space="preserve"> Revista Ibero-Americana de Humanidades, Ciências e Educação</w:t>
      </w:r>
      <w:r>
        <w:t xml:space="preserve">, v. 9, n. 10, p. </w:t>
      </w:r>
      <w:r>
        <w:t>2947-2964, 2023.</w:t>
      </w:r>
    </w:p>
    <w:p w14:paraId="62BFA14B" w14:textId="77777777" w:rsidR="00643609" w:rsidRDefault="000651AA">
      <w:pPr>
        <w:spacing w:after="240" w:line="240" w:lineRule="auto"/>
      </w:pPr>
      <w:r>
        <w:t>SILVA, G.; LOPES, M.; PEREIRA, R. Boas práticas de gestão em empresas familiares: uma análise dos desafios e oportunidades.</w:t>
      </w:r>
      <w:r>
        <w:rPr>
          <w:i/>
        </w:rPr>
        <w:t xml:space="preserve"> Revista Brasileira de Gestão Empresarial</w:t>
      </w:r>
      <w:r>
        <w:t>, v. 13, n. 2, p. 56-72, 2019.</w:t>
      </w:r>
    </w:p>
    <w:p w14:paraId="6C9B980E" w14:textId="77777777" w:rsidR="00643609" w:rsidRDefault="000651AA">
      <w:pPr>
        <w:spacing w:after="240" w:line="240" w:lineRule="auto"/>
      </w:pPr>
      <w:r>
        <w:t>SOUZA, C. C.; OLIVEIRA, L. V. C&amp;L Cont. 2024</w:t>
      </w:r>
      <w:r>
        <w:t>. Trabalho de Conclusão de Curso (Curso Técnico em Contabilidade) – ETEC Jardim Ângela, São Paulo, 2024.</w:t>
      </w:r>
    </w:p>
    <w:p w14:paraId="28253AD0" w14:textId="77777777" w:rsidR="00643609" w:rsidRDefault="000651AA">
      <w:pPr>
        <w:spacing w:after="240" w:line="240" w:lineRule="auto"/>
      </w:pPr>
      <w:r>
        <w:t>SOUZA, L.; GOMES, F. Capacitação e desenvolvimento em pequenas empresas: uma abordagem estratégica.</w:t>
      </w:r>
      <w:r>
        <w:rPr>
          <w:i/>
        </w:rPr>
        <w:t xml:space="preserve"> Administração Contemporânea</w:t>
      </w:r>
      <w:r>
        <w:t>, v. 14, n. 3, p. 15-29,</w:t>
      </w:r>
      <w:r>
        <w:t xml:space="preserve"> 2020.</w:t>
      </w:r>
      <w:bookmarkStart w:id="9" w:name="art5_fim"/>
      <w:bookmarkEnd w:id="9"/>
    </w:p>
    <w:p w14:paraId="374DFC6E" w14:textId="77777777" w:rsidR="00643609" w:rsidRDefault="00643609">
      <w:pPr>
        <w:sectPr w:rsidR="00643609">
          <w:headerReference w:type="default" r:id="rId31"/>
          <w:footerReference w:type="default" r:id="rId32"/>
          <w:footnotePr>
            <w:numRestart w:val="eachSect"/>
          </w:footnotePr>
          <w:pgSz w:w="11906" w:h="16838"/>
          <w:pgMar w:top="1701" w:right="1134" w:bottom="1134" w:left="1701" w:header="709" w:footer="567" w:gutter="0"/>
          <w:cols w:space="720"/>
          <w:docGrid w:linePitch="360"/>
        </w:sectPr>
      </w:pPr>
    </w:p>
    <w:p w14:paraId="45D9CAA6" w14:textId="77777777" w:rsidR="00643609" w:rsidRDefault="000651AA">
      <w:pPr>
        <w:keepNext/>
        <w:spacing w:before="120" w:after="120"/>
        <w:jc w:val="center"/>
      </w:pPr>
      <w:bookmarkStart w:id="10" w:name="art6_ini"/>
      <w:bookmarkEnd w:id="10"/>
      <w:r>
        <w:rPr>
          <w:noProof/>
        </w:rPr>
        <w:lastRenderedPageBreak/>
        <w:drawing>
          <wp:inline distT="0" distB="0" distL="0" distR="0" wp14:anchorId="11D4C30D" wp14:editId="2A4B9600">
            <wp:extent cx="5753100" cy="85839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_img0.png"/>
                    <pic:cNvPicPr/>
                  </pic:nvPicPr>
                  <pic:blipFill>
                    <a:blip r:embed="rId8"/>
                    <a:stretch>
                      <a:fillRect/>
                    </a:stretch>
                  </pic:blipFill>
                  <pic:spPr>
                    <a:xfrm>
                      <a:off x="0" y="0"/>
                      <a:ext cx="5753100" cy="858399"/>
                    </a:xfrm>
                    <a:prstGeom prst="rect">
                      <a:avLst/>
                    </a:prstGeom>
                  </pic:spPr>
                </pic:pic>
              </a:graphicData>
            </a:graphic>
          </wp:inline>
        </w:drawing>
      </w:r>
    </w:p>
    <w:p w14:paraId="4F400F1B" w14:textId="77777777" w:rsidR="00643609" w:rsidRDefault="000651AA">
      <w:pPr>
        <w:spacing w:before="360" w:after="0" w:line="240" w:lineRule="auto"/>
        <w:jc w:val="center"/>
      </w:pPr>
      <w:r>
        <w:rPr>
          <w:b/>
        </w:rPr>
        <w:t>UMA REVISÃO SISTEMATIZADA DA LITERATURA PUBLICADA NO CONGRESSO USP DE INICIAÇÃO CIENTÍFICA EM CONTABILIDADE SOBRE CONTABILIDADE AMBIENTAL</w:t>
      </w:r>
    </w:p>
    <w:p w14:paraId="67905F9D" w14:textId="77777777" w:rsidR="00643609" w:rsidRDefault="000651AA">
      <w:pPr>
        <w:spacing w:after="0" w:line="240" w:lineRule="auto"/>
        <w:jc w:val="right"/>
      </w:pPr>
      <w:r>
        <w:t>José Eduardo Santos Barbosa</w:t>
      </w:r>
      <w:r>
        <w:rPr>
          <w:vertAlign w:val="superscript"/>
        </w:rPr>
        <w:footnoteReference w:id="18"/>
      </w:r>
    </w:p>
    <w:p w14:paraId="28B0FDF3" w14:textId="77777777" w:rsidR="00643609" w:rsidRDefault="000651AA">
      <w:pPr>
        <w:spacing w:after="0" w:line="240" w:lineRule="auto"/>
        <w:jc w:val="right"/>
      </w:pPr>
      <w:r>
        <w:t>Deivid Mendonça Barrêto</w:t>
      </w:r>
      <w:r>
        <w:rPr>
          <w:vertAlign w:val="superscript"/>
        </w:rPr>
        <w:footnoteReference w:id="19"/>
      </w:r>
    </w:p>
    <w:p w14:paraId="290B2D0B" w14:textId="77777777" w:rsidR="00643609" w:rsidRDefault="000651AA">
      <w:pPr>
        <w:spacing w:after="0" w:line="240" w:lineRule="auto"/>
        <w:jc w:val="right"/>
      </w:pPr>
      <w:r>
        <w:t>Letycia Santos de Jesus</w:t>
      </w:r>
      <w:r>
        <w:rPr>
          <w:vertAlign w:val="superscript"/>
        </w:rPr>
        <w:footnoteReference w:id="20"/>
      </w:r>
    </w:p>
    <w:p w14:paraId="2CCBC9B3" w14:textId="77777777" w:rsidR="00643609" w:rsidRDefault="000651AA">
      <w:pPr>
        <w:spacing w:after="0" w:line="240" w:lineRule="auto"/>
        <w:jc w:val="right"/>
      </w:pPr>
      <w:r>
        <w:t>Nadielli Maria dos Santos Galvão</w:t>
      </w:r>
      <w:r>
        <w:rPr>
          <w:vertAlign w:val="superscript"/>
        </w:rPr>
        <w:footnoteReference w:id="21"/>
      </w:r>
    </w:p>
    <w:p w14:paraId="2105B58A" w14:textId="77777777" w:rsidR="00643609" w:rsidRDefault="000651AA">
      <w:pPr>
        <w:keepNext/>
        <w:spacing w:before="360" w:after="240" w:line="240" w:lineRule="auto"/>
      </w:pPr>
      <w:r>
        <w:rPr>
          <w:b/>
        </w:rPr>
        <w:t>RESUMO</w:t>
      </w:r>
    </w:p>
    <w:p w14:paraId="73123CFB" w14:textId="77777777" w:rsidR="00643609" w:rsidRDefault="000651AA">
      <w:pPr>
        <w:spacing w:after="240" w:line="240" w:lineRule="auto"/>
        <w:jc w:val="both"/>
      </w:pPr>
      <w:r>
        <w:t>O objetivo deste estudo foi analisar, por meio da metodologia da Revisão Sistematizada da Literatura (RSzL), a produção científica sobre “contabilidade ambiental” no Congresso USP de Iniciação Científica em Contabi</w:t>
      </w:r>
      <w:r>
        <w:t>lidade entre os anos de 2021 e 2025. A amostra foi composta por 27 estudos. Esta pesquisa caracteriza-se como qualitativa, descritiva e bibliográfica, empregando a Análise de Conteúdo para classificar os estudos em categorias temáticas. Os achados evidenci</w:t>
      </w:r>
      <w:r>
        <w:t>am que as pesquisas sobre contabilidade ambiental no referido evento têm apresentado crescimento ao longo dos anos. Predominam estudos de natureza descritiva, que recorrem principalmente à coleta documental de dados e à Análise de Conteúdo. As investigaçõe</w:t>
      </w:r>
      <w:r>
        <w:t xml:space="preserve">s identificadas foram organizadas em quatro categorias temáticas principais, revelando a amplitude de questões relacionadas à sustentabilidade ambiental que podem ser abordadas no campo da contabilidade. Entretanto, observa-se que os resumos dos trabalhos </w:t>
      </w:r>
      <w:r>
        <w:t>ainda carecem de maior detalhamento quanto aos procedimentos metodológicos, a fim de proporcionar aos leitores uma compreensão mais abrangente das características das pesquisas.</w:t>
      </w:r>
    </w:p>
    <w:p w14:paraId="1DBA5ED3" w14:textId="77777777" w:rsidR="00643609" w:rsidRDefault="000651AA">
      <w:pPr>
        <w:spacing w:before="240" w:after="240" w:line="240" w:lineRule="auto"/>
        <w:jc w:val="both"/>
      </w:pPr>
      <w:r>
        <w:rPr>
          <w:b/>
        </w:rPr>
        <w:t>Palavras-chave:</w:t>
      </w:r>
      <w:r>
        <w:t xml:space="preserve"> Estado da Arte. Pesquisa Científica. Revisão da Literatura. Su</w:t>
      </w:r>
      <w:r>
        <w:t>stentabilidade.</w:t>
      </w:r>
    </w:p>
    <w:p w14:paraId="11D47F06" w14:textId="77777777" w:rsidR="00643609" w:rsidRDefault="000651AA">
      <w:pPr>
        <w:keepNext/>
        <w:spacing w:before="360" w:after="240" w:line="240" w:lineRule="auto"/>
      </w:pPr>
      <w:r>
        <w:rPr>
          <w:b/>
        </w:rPr>
        <w:t>ABSTRACT</w:t>
      </w:r>
    </w:p>
    <w:p w14:paraId="2019CFC4" w14:textId="77777777" w:rsidR="00643609" w:rsidRDefault="000651AA">
      <w:pPr>
        <w:spacing w:after="240" w:line="240" w:lineRule="auto"/>
        <w:jc w:val="both"/>
      </w:pPr>
      <w:r>
        <w:t>The aim of this study was to analyze, through the Systematized Literature Review (SLR) methodology, the scientific production on environmental accounting presented at the USP Scientific Initiation Conference in Accounting between 2</w:t>
      </w:r>
      <w:r>
        <w:t xml:space="preserve">021 and 2025. The sample comprised 27 studies. This study is characterized as qualitative, descriptive, and bibliographic, employing Content Analysis to classify the studies into </w:t>
      </w:r>
      <w:r>
        <w:lastRenderedPageBreak/>
        <w:t>thematic categories. The findings indicate that research on environmental acc</w:t>
      </w:r>
      <w:r>
        <w:t>ounting presented at the event has increased over the years. Most of the studies are descriptive in nature, relying primarily on documentary data collection and Content Analysis. The identified studies were organized into four main thematic categories, dem</w:t>
      </w:r>
      <w:r>
        <w:t>onstrating the broad range of environmental sustainability issues that can be addressed within the field of accounting. However, the abstracts still lack greater detail regarding their methodological procedures, which would provide readers with a more comp</w:t>
      </w:r>
      <w:r>
        <w:t>rehensive understanding of the characteristics of the studies.</w:t>
      </w:r>
    </w:p>
    <w:p w14:paraId="194449BA" w14:textId="77777777" w:rsidR="00643609" w:rsidRDefault="000651AA">
      <w:pPr>
        <w:spacing w:before="240" w:after="240" w:line="240" w:lineRule="auto"/>
        <w:jc w:val="both"/>
      </w:pPr>
      <w:r>
        <w:rPr>
          <w:b/>
        </w:rPr>
        <w:t>Keywords:</w:t>
      </w:r>
      <w:r>
        <w:t xml:space="preserve"> Literature Review. Scientific Research. State of the Art. Sustainability.</w:t>
      </w:r>
    </w:p>
    <w:p w14:paraId="6BCD2EE6" w14:textId="77777777" w:rsidR="00643609" w:rsidRDefault="000651AA">
      <w:pPr>
        <w:keepNext/>
        <w:spacing w:before="360" w:after="240" w:line="360" w:lineRule="auto"/>
      </w:pPr>
      <w:r>
        <w:rPr>
          <w:b/>
        </w:rPr>
        <w:t>1 INTRODUÇÃO</w:t>
      </w:r>
    </w:p>
    <w:p w14:paraId="398D0E96" w14:textId="77777777" w:rsidR="00643609" w:rsidRDefault="000651AA">
      <w:pPr>
        <w:spacing w:after="0" w:line="360" w:lineRule="auto"/>
        <w:ind w:firstLine="709"/>
        <w:jc w:val="both"/>
      </w:pPr>
      <w:r>
        <w:t>As discussões atuais sobre a temática ambiental deixaram de ocupar uma posição secundária e pass</w:t>
      </w:r>
      <w:r>
        <w:t>aram a desempenhar papel central nas estratégias adotadas por governos e grandes organizações em escala global (Paula et al., 2017). A necessidade de reduzir os impactos das mudanças climáticas e administrar o balanço de carbono impõe desafios que variam c</w:t>
      </w:r>
      <w:r>
        <w:t>onforme a efetividade das políticas públicas, evidenciando que o Brasil apresenta vantagens em função de sua capacidade de gerir seus recursos de maneira sustentável, enquanto países como a China enfrentam déficits expressivos nesse aspecto (Ng; Kassai, 20</w:t>
      </w:r>
      <w:r>
        <w:t>24). Diante desse contexto, as organizações são pressionadas a adequar suas atividades aos Objetivos de Desenvolvimento Sustentável (ODS) da Agenda 2030, conciliando a conservação ambiental com a sustentabilidade econômica no longo prazo (Santos et al., 20</w:t>
      </w:r>
      <w:r>
        <w:t>25).</w:t>
      </w:r>
    </w:p>
    <w:p w14:paraId="73757305" w14:textId="77777777" w:rsidR="00643609" w:rsidRDefault="000651AA">
      <w:pPr>
        <w:spacing w:after="0" w:line="360" w:lineRule="auto"/>
        <w:ind w:firstLine="709"/>
        <w:jc w:val="both"/>
      </w:pPr>
      <w:r>
        <w:t>Nesse contexto, a divulgação de informações ambientais ultrapassa a função de mera transparência corporativa e passa a constituir um mecanismo essencial para reduzir a assimetria informacional existente entre a gestão das empresas e os investidores. A</w:t>
      </w:r>
      <w:r>
        <w:t>ssim, uma evidenciação ambiental de qualidade apresenta relevância de valor (value relevance), contribuindo para a formação dos preços dos ativos no mercado de capitais brasileiro, como verificado em companhias de capital aberto listadas na B3 (Silva; Azev</w:t>
      </w:r>
      <w:r>
        <w:t>edo, 2022). Entretanto, a credibilidade dessas informações é frequentemente comprometida pela prática do</w:t>
      </w:r>
      <w:r>
        <w:rPr>
          <w:i/>
        </w:rPr>
        <w:t xml:space="preserve"> greenwashing</w:t>
      </w:r>
      <w:r>
        <w:t xml:space="preserve">, que recorre à divulgação de informações enganosas para transmitir uma percepção equivocada de compromisso socioambiental. Nesse sentido, </w:t>
      </w:r>
      <w:r>
        <w:t>para que a comunicação ambiental represente informações gerenciais consistentes, e não apenas um discurso institucional, a contabilidade desempenha um papel técnico indispensável dentro das organizações.</w:t>
      </w:r>
    </w:p>
    <w:p w14:paraId="7BCA818C" w14:textId="77777777" w:rsidR="00643609" w:rsidRDefault="000651AA">
      <w:pPr>
        <w:spacing w:after="0" w:line="360" w:lineRule="auto"/>
        <w:ind w:firstLine="709"/>
        <w:jc w:val="both"/>
      </w:pPr>
      <w:r>
        <w:lastRenderedPageBreak/>
        <w:t xml:space="preserve">A relevância da contabilidade diante das crescentes </w:t>
      </w:r>
      <w:r>
        <w:t>demandas relacionadas à sustentabilidade está na sua capacidade de converter pressões sociais e impactos ambientais em informações úteis para a gestão organizacional. Por meio de ferramentas como o Relato Integrado, torna-se possível demonstrar que um elev</w:t>
      </w:r>
      <w:r>
        <w:t>ado desempenho em sustentabilidade (ESG) pode reduzir a ocorrência de práticas oportunistas de gerenciamento de resultados, contribuindo para o fortalecimento da confiança dos stakeholders (Santana; Zaro, 2022). Além disso, a contabilidade desempenha a fun</w:t>
      </w:r>
      <w:r>
        <w:t xml:space="preserve">ção de traduzir riscos físicos e climáticos em informações financeiras compreensíveis, fornecendo suporte técnico para decisões de investimento e alocação de capital mais responsáveis (Rosa; Zaro, 2025). Essa atuação é respaldada por um conjunto de normas </w:t>
      </w:r>
      <w:r>
        <w:t>em constante evolução, voltadas à promoção da transparência e da comparabilidade das informações em âmbito internacional.</w:t>
      </w:r>
    </w:p>
    <w:p w14:paraId="22D8C615" w14:textId="77777777" w:rsidR="00643609" w:rsidRDefault="000651AA">
      <w:pPr>
        <w:spacing w:after="0" w:line="360" w:lineRule="auto"/>
        <w:ind w:firstLine="709"/>
        <w:jc w:val="both"/>
      </w:pPr>
      <w:r>
        <w:t>Do ponto de vista regulatório, a contabilidade ambiental no Brasil encontra-se em um momento de transição, no qual as práticas tradici</w:t>
      </w:r>
      <w:r>
        <w:t>onais — baseadas no CPC 25 (Provisões e Passivos Contingentes), CPC 27 (Ativo Imobilizado) e CPC 04 (Ativo Intangível) — passam a ser gradualmente incorporadas ao novo arcabouço de divulgação definido pelas NBC TDS 01 e NBC TDS 02. Essas normas brasileiras</w:t>
      </w:r>
      <w:r>
        <w:t>, em consonância com os padrões internacionais IFRS S1 e S2 do ISSB, estabelecem diretrizes gerais e específicas voltadas à divulgação de riscos e oportunidades relacionados ao clima.</w:t>
      </w:r>
    </w:p>
    <w:p w14:paraId="7133CE98" w14:textId="77777777" w:rsidR="00643609" w:rsidRDefault="000651AA">
      <w:pPr>
        <w:spacing w:after="0" w:line="360" w:lineRule="auto"/>
        <w:ind w:firstLine="709"/>
        <w:jc w:val="both"/>
      </w:pPr>
      <w:r>
        <w:t>Nesse contexto, a pesquisa científica na área contábil assume papel cent</w:t>
      </w:r>
      <w:r>
        <w:t xml:space="preserve">ral como mecanismo essencial de verificação e validação das narrativas divulgadas pelas organizações. Enquanto as normas estabelecem os procedimentos a serem seguidos, o meio acadêmico dedica-se a analisar a confiabilidade das informações divulgadas e sua </w:t>
      </w:r>
      <w:r>
        <w:t>efetividade na redução do uso estratégico da comunicação para minimizar efeitos negativos. Assim, para que um conhecimento se consolide como científico, é necessário que as produções acadêmicas sejam reconhecidas, citadas e legitimadas pela comunidade cien</w:t>
      </w:r>
      <w:r>
        <w:t>tífica, evitando sua desconsideração. Além desse processo de validação crítica, o desenvolvimento da contabilidade também depende da rapidez com que novos achados são disseminados, função essa desempenhada de forma relevante pelos eventos científicos (Figu</w:t>
      </w:r>
      <w:r>
        <w:t>eredo, 2022).</w:t>
      </w:r>
    </w:p>
    <w:p w14:paraId="6B899B8C" w14:textId="77777777" w:rsidR="00643609" w:rsidRDefault="000651AA">
      <w:pPr>
        <w:spacing w:after="0" w:line="360" w:lineRule="auto"/>
        <w:ind w:firstLine="709"/>
        <w:jc w:val="both"/>
      </w:pPr>
      <w:r>
        <w:t xml:space="preserve">A relevância dos eventos científicos para a disseminação ágil do conhecimento está relacionada ao seu papel como espaço inicial de circulação das </w:t>
      </w:r>
      <w:r>
        <w:lastRenderedPageBreak/>
        <w:t>pesquisas acadêmicas. Diferentemente dos periódicos científicos, que passam por processos mais l</w:t>
      </w:r>
      <w:r>
        <w:t>ongos de avaliação e publicação, os congressos permitem a apresentação e discussão rápida de novas ideias em tempo real. Nesse sentido, Mueller (2006) destaca que esses encontros representam oportunidades importantes de atualização para a comunidade acadêm</w:t>
      </w:r>
      <w:r>
        <w:t>ica, funcionando como um indicador preliminar das inovações antes que elas sejam formalmente consolidadas na literatura. No contexto brasileiro, destaca-se como um dos principais ambientes de troca e formação de novos pesquisadores o Congresso USP de Inici</w:t>
      </w:r>
      <w:r>
        <w:t>ação Científica (IC) em Contabilidade.</w:t>
      </w:r>
    </w:p>
    <w:p w14:paraId="19212D4B" w14:textId="77777777" w:rsidR="00643609" w:rsidRDefault="000651AA">
      <w:pPr>
        <w:spacing w:after="0" w:line="360" w:lineRule="auto"/>
        <w:ind w:firstLine="709"/>
        <w:jc w:val="both"/>
      </w:pPr>
      <w:r>
        <w:t>O histórico do Congresso USP de Iniciação Científica em Contabilidade evidencia uma trajetória marcada pelo incentivo ao desenvolvimento da pesquisa desde a formação acadêmica inicial. Criado pelo Departamento de Cont</w:t>
      </w:r>
      <w:r>
        <w:t>abilidade e Atuária da FEA/USP (EAC/FEA/USP), o evento consolidou sua vertente de iniciação científica (IC) no início dos anos 2000, com registros contínuos de publicações a partir de 2004 (Lima, 2022). Realizado em conjunto com o USP International Confere</w:t>
      </w:r>
      <w:r>
        <w:t>nce on Accounting, o congresso se estabelece como um dos principais espaços de discussão contábil da América Latina (USP, 2024).</w:t>
      </w:r>
    </w:p>
    <w:p w14:paraId="1CAE49F2" w14:textId="11811984" w:rsidR="00643609" w:rsidRDefault="000651AA" w:rsidP="00AB5F50">
      <w:pPr>
        <w:spacing w:after="0" w:line="360" w:lineRule="auto"/>
        <w:ind w:firstLine="709"/>
        <w:jc w:val="both"/>
      </w:pPr>
      <w:r>
        <w:t>Considerando a tradição e o prestígio deste fórum na formação do pensamento contábil, torna-se necessário investigar como a sus</w:t>
      </w:r>
      <w:r>
        <w:t>tentabilidade tem sido nele explorada, o que faz emergir a seguinte questão de pesquisa:</w:t>
      </w:r>
      <w:r>
        <w:rPr>
          <w:b/>
        </w:rPr>
        <w:t xml:space="preserve"> Como a temática</w:t>
      </w:r>
      <w:r w:rsidR="00AB5F50">
        <w:rPr>
          <w:b/>
        </w:rPr>
        <w:t xml:space="preserve"> </w:t>
      </w:r>
      <w:r>
        <w:rPr>
          <w:b/>
        </w:rPr>
        <w:t>“contabilidade ambiental” tem sido discutida no Congresso USP de Iniciação</w:t>
      </w:r>
      <w:r w:rsidR="00AB5F50">
        <w:rPr>
          <w:b/>
        </w:rPr>
        <w:t xml:space="preserve"> </w:t>
      </w:r>
      <w:r>
        <w:rPr>
          <w:b/>
        </w:rPr>
        <w:t>Científica em Contabilidade?</w:t>
      </w:r>
      <w:r>
        <w:t xml:space="preserve"> A relevância dessa indagação reside na necessid</w:t>
      </w:r>
      <w:r>
        <w:t>ade de avaliar se a produção dos graduandos acompanha a urgência das demandas globais e as transformações normativas recentes.</w:t>
      </w:r>
    </w:p>
    <w:p w14:paraId="0FD64B68" w14:textId="03F5B2B8" w:rsidR="00643609" w:rsidRDefault="000651AA" w:rsidP="00DB1532">
      <w:pPr>
        <w:spacing w:after="0" w:line="360" w:lineRule="auto"/>
        <w:ind w:firstLine="709"/>
        <w:jc w:val="both"/>
      </w:pPr>
      <w:r>
        <w:t>Para responder a essa questão, este estudo tem por objetivo</w:t>
      </w:r>
      <w:r>
        <w:rPr>
          <w:b/>
        </w:rPr>
        <w:t xml:space="preserve"> analisar, por</w:t>
      </w:r>
      <w:r w:rsidR="00DB1532">
        <w:rPr>
          <w:b/>
        </w:rPr>
        <w:t xml:space="preserve"> </w:t>
      </w:r>
      <w:r>
        <w:rPr>
          <w:b/>
        </w:rPr>
        <w:t xml:space="preserve">meio da metodologia da Revisão </w:t>
      </w:r>
      <w:r>
        <w:rPr>
          <w:b/>
        </w:rPr>
        <w:t>Sistematizada da Literatura (RSzL), a produção científica sobre “contabilidade ambiental” no Congresso USP de Iniciação</w:t>
      </w:r>
      <w:r w:rsidR="00DB1532">
        <w:rPr>
          <w:b/>
        </w:rPr>
        <w:t xml:space="preserve"> </w:t>
      </w:r>
      <w:r>
        <w:rPr>
          <w:b/>
        </w:rPr>
        <w:t>Científica em Contabilidade entre os anos de 2021 e 2025</w:t>
      </w:r>
      <w:r>
        <w:t xml:space="preserve">. Esta estratégia visa não apenas quantificar os estudos publicados, mas também </w:t>
      </w:r>
      <w:r>
        <w:t>identificar as principais tendências temáticas, as metodologias aplicadas e as lacunas teóricas que ainda precisam ser exploradas pelos pesquisadores da área.</w:t>
      </w:r>
    </w:p>
    <w:p w14:paraId="2B178E67" w14:textId="77777777" w:rsidR="00643609" w:rsidRDefault="000651AA">
      <w:pPr>
        <w:spacing w:after="0" w:line="360" w:lineRule="auto"/>
        <w:ind w:firstLine="709"/>
        <w:jc w:val="both"/>
      </w:pPr>
      <w:r>
        <w:t>A relevância deste estudo para a academia e para a sociedade está relacionada à sua capacidade de</w:t>
      </w:r>
      <w:r>
        <w:t xml:space="preserve"> avaliar o nível de maturidade das pesquisas brasileiras frente às novas diretrizes globais de sustentabilidade. No âmbito </w:t>
      </w:r>
      <w:r>
        <w:lastRenderedPageBreak/>
        <w:t>acadêmico, a investigação contribui para sistematizar a evolução do pensamento contábil e evidenciar lacunas que demandam aprofundame</w:t>
      </w:r>
      <w:r>
        <w:t>nto científico; já para a sociedade, permite analisar se a produção científica cumpre seu papel de assegurar a qualidade das informações e reduzir práticas de oportunismo informacional (Souza; Morgan; Souza, 2025). Em um contexto de exigência normativa das</w:t>
      </w:r>
      <w:r>
        <w:t xml:space="preserve"> NBC TDS, compreender a produção científica no principal fórum de iniciação científica do país torna-se essencial para fortalecer a credibilidade dos stakeholders em relação à transparência corporativa (Resolução CFC 1.710/2023).</w:t>
      </w:r>
    </w:p>
    <w:p w14:paraId="41BED30B" w14:textId="77777777" w:rsidR="00643609" w:rsidRDefault="000651AA">
      <w:pPr>
        <w:spacing w:after="0" w:line="360" w:lineRule="auto"/>
        <w:ind w:firstLine="709"/>
        <w:jc w:val="both"/>
      </w:pPr>
      <w:r>
        <w:t>Por se tratar de uma pesqu</w:t>
      </w:r>
      <w:r>
        <w:t>isa de revisão de literatura, este trabalho está estruturado em quatro seções. A primeira corresponde à introdução, na qual são apresentados o contexto da investigação, sua questão norteadora e o objetivo proposto. Em seguida, a segunda seção aborda a meto</w:t>
      </w:r>
      <w:r>
        <w:t>dologia utilizada no desenvolvimento do estudo. A terceira seção apresenta os resultados obtidos, enquanto a quarta e última seção é destinada às considerações finais.</w:t>
      </w:r>
    </w:p>
    <w:p w14:paraId="50B32DBA" w14:textId="77777777" w:rsidR="00643609" w:rsidRDefault="000651AA">
      <w:pPr>
        <w:spacing w:after="0" w:line="360" w:lineRule="auto"/>
        <w:ind w:firstLine="709"/>
        <w:jc w:val="both"/>
      </w:pPr>
      <w:r>
        <w:t>.</w:t>
      </w:r>
    </w:p>
    <w:p w14:paraId="04EE2585" w14:textId="77777777" w:rsidR="00643609" w:rsidRDefault="000651AA">
      <w:pPr>
        <w:keepNext/>
        <w:spacing w:before="360" w:after="240" w:line="360" w:lineRule="auto"/>
      </w:pPr>
      <w:r>
        <w:rPr>
          <w:b/>
        </w:rPr>
        <w:t>2 METODOLOGIA</w:t>
      </w:r>
    </w:p>
    <w:p w14:paraId="3F2216D7" w14:textId="77777777" w:rsidR="00643609" w:rsidRDefault="000651AA">
      <w:pPr>
        <w:spacing w:after="0" w:line="360" w:lineRule="auto"/>
        <w:ind w:firstLine="709"/>
        <w:jc w:val="both"/>
      </w:pPr>
      <w:r>
        <w:t>Este artigo se refere a uma pesquisa qualitativa, bibliográfica e descri</w:t>
      </w:r>
      <w:r>
        <w:t>tiva, do tipo Revisão Sistematizada da Literatura (RSzL). A análise se deu nos artigos científicos, publicados no Congresso USP de Iniciação Científica em Contabilidade, que abordaram temas ambientais. Para execução da RSzL foi adotado o protocolo de Codin</w:t>
      </w:r>
      <w:r>
        <w:t>a (2020). Ressalta-se que o objetivo da RSzL é levantar o estado da questão, ou seja, compreender o panorama científico sobre determinado tema.</w:t>
      </w:r>
    </w:p>
    <w:p w14:paraId="19D30070" w14:textId="77777777" w:rsidR="00643609" w:rsidRDefault="000651AA">
      <w:pPr>
        <w:spacing w:after="0" w:line="360" w:lineRule="auto"/>
        <w:ind w:firstLine="709"/>
        <w:jc w:val="both"/>
      </w:pPr>
      <w:r>
        <w:t>O corpus desta metodologia corresponde aos resumos dos trabalhos, uma vez que, segundo Kohls-Santos e Morosini (</w:t>
      </w:r>
      <w:r>
        <w:t>2021), essa seção dos artigos oferece uma visão abrangente da pesquisa, permitindo a compreensão de seus objetivos, procedimentos metodológicos e resultados. Além disso, a RSzL é desenvolvida em um ciclo composto por quatro etapas: busca, avaliação, anális</w:t>
      </w:r>
      <w:r>
        <w:t>e e síntese. A figura 1 apresenta o objetivo de cada etapa, bem como a atividade realizada pelos pesquisadores na execução desta investigação.</w:t>
      </w:r>
    </w:p>
    <w:p w14:paraId="4EC4835B" w14:textId="77777777" w:rsidR="00643609" w:rsidRDefault="000651AA">
      <w:pPr>
        <w:keepNext/>
        <w:spacing w:before="120" w:after="120"/>
        <w:jc w:val="center"/>
      </w:pPr>
      <w:r>
        <w:rPr>
          <w:noProof/>
        </w:rPr>
        <w:lastRenderedPageBreak/>
        <w:drawing>
          <wp:inline distT="0" distB="0" distL="0" distR="0" wp14:anchorId="30C65465" wp14:editId="43A06ABA">
            <wp:extent cx="5753100" cy="323726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24_img0.png"/>
                    <pic:cNvPicPr/>
                  </pic:nvPicPr>
                  <pic:blipFill>
                    <a:blip r:embed="rId33"/>
                    <a:stretch>
                      <a:fillRect/>
                    </a:stretch>
                  </pic:blipFill>
                  <pic:spPr>
                    <a:xfrm>
                      <a:off x="0" y="0"/>
                      <a:ext cx="5753100" cy="3237260"/>
                    </a:xfrm>
                    <a:prstGeom prst="rect">
                      <a:avLst/>
                    </a:prstGeom>
                  </pic:spPr>
                </pic:pic>
              </a:graphicData>
            </a:graphic>
          </wp:inline>
        </w:drawing>
      </w:r>
    </w:p>
    <w:p w14:paraId="63F01C83" w14:textId="77777777" w:rsidR="00643609" w:rsidRDefault="000651AA">
      <w:pPr>
        <w:spacing w:after="0" w:line="360" w:lineRule="auto"/>
        <w:ind w:firstLine="709"/>
        <w:jc w:val="both"/>
      </w:pPr>
      <w:r>
        <w:t>Destaca-se que este artigo constitui um recorte de uma pesquisa mais ampla, aprovada pela Pró-Reitoria de Pesqu</w:t>
      </w:r>
      <w:r>
        <w:t>isa da Universidade Federal de Sergipe, a qual tem como objetivo analisar anais de diferentes eventos científicos relacionados à temática da contabilidade ambiental. Para dar suporte às atividades da equipe, tem sido utilizada a Inteligência Artificial (IA</w:t>
      </w:r>
      <w:r>
        <w:t>) generativa Gemini, em sua versão gratuita. Estudos recentes já indicam que o uso da IA, quando empregado de forma responsável, pode trazer benefícios ao processo de investigação científica, especialmente em revisões da literatura (Maculan et al., 2023; P</w:t>
      </w:r>
      <w:r>
        <w:t>icalho; Oliveira; Cativelli, 2025; Barrêto et al., 2026).</w:t>
      </w:r>
    </w:p>
    <w:p w14:paraId="0D82C15C" w14:textId="77777777" w:rsidR="00643609" w:rsidRDefault="000651AA">
      <w:pPr>
        <w:spacing w:after="0" w:line="360" w:lineRule="auto"/>
        <w:ind w:firstLine="709"/>
        <w:jc w:val="both"/>
      </w:pPr>
      <w:r>
        <w:t>A equipe disponibiliza todos os</w:t>
      </w:r>
      <w:r>
        <w:rPr>
          <w:i/>
        </w:rPr>
        <w:t xml:space="preserve"> prompts</w:t>
      </w:r>
      <w:r>
        <w:t xml:space="preserve"> utilizados neste link, de modo à proporcionar transparência quanto à forma de realização do trabalho, contribuindo, inclusive, para ampliar a discussão na literatura sobre o uso de IA na pesquisa qualitativa. Ademais, tendo em vista o quantitativo de arti</w:t>
      </w:r>
      <w:r>
        <w:t>gos analisados, a equipe optou por apresentar a listagem das pesquisas pertencentes à amostra neste link, de modo a possibilitar aos leitores o conhecimento dos dados em sua completude.</w:t>
      </w:r>
    </w:p>
    <w:p w14:paraId="6C408BE2" w14:textId="77777777" w:rsidR="00643609" w:rsidRDefault="000651AA">
      <w:pPr>
        <w:keepNext/>
        <w:spacing w:before="360" w:after="240" w:line="360" w:lineRule="auto"/>
      </w:pPr>
      <w:r>
        <w:rPr>
          <w:b/>
        </w:rPr>
        <w:t>3 APRESENTAÇÃO E ANÁLISE DOS DADOS</w:t>
      </w:r>
    </w:p>
    <w:p w14:paraId="0343566A" w14:textId="77777777" w:rsidR="00643609" w:rsidRDefault="000651AA">
      <w:pPr>
        <w:spacing w:after="0" w:line="360" w:lineRule="auto"/>
        <w:ind w:firstLine="709"/>
        <w:jc w:val="both"/>
      </w:pPr>
      <w:r>
        <w:t xml:space="preserve">A análise temporal das publicações </w:t>
      </w:r>
      <w:r>
        <w:t xml:space="preserve">revela variações no número de estudos ao longo dos anos, o que demonstra um comportamento dinâmico na produção acadêmica relacionada à Sustentabilidade, ESG e Governança. No período investigado, observa-se que os anos de 2021 e 2023 apresentaram a menor </w:t>
      </w:r>
      <w:r>
        <w:lastRenderedPageBreak/>
        <w:t>qu</w:t>
      </w:r>
      <w:r>
        <w:t>antidade de publicações, com quatro artigos cada, enquanto 2022 e 2024 registraram seis trabalhos por ano. Já 2025 se destacou como o período com maior volume de produção, totalizando sete publicações, o que indica um aumento recente no interesse científic</w:t>
      </w:r>
      <w:r>
        <w:t>o pela temática.</w:t>
      </w:r>
    </w:p>
    <w:p w14:paraId="4956D6FB" w14:textId="77777777" w:rsidR="00643609" w:rsidRDefault="000651AA">
      <w:pPr>
        <w:spacing w:after="0" w:line="360" w:lineRule="auto"/>
        <w:ind w:firstLine="709"/>
        <w:jc w:val="both"/>
      </w:pPr>
      <w:r>
        <w:t>O Gráfico 01 apresenta essa distribuição, evidenciando uma tendência de retomada do interesse pelos temas analisados nos anos mais recentes. Esses resultados indicam que a produção acadêmica sobre a temática tem se mantido ativa ao longo d</w:t>
      </w:r>
      <w:r>
        <w:t>o período, ainda que com variações, as quais podem estar associadas tanto à maturidade do campo quanto a fatores externos, como crises sanitárias ou a ampliação das agendas relacionadas ao ESG. De forma geral, observa-se uma menor concentração de publicaçõ</w:t>
      </w:r>
      <w:r>
        <w:t>es no início da série histórica, seguida por um crescimento gradual nos anos posteriores, o que reforça a continuidade da atenção da comunidade científica ao tema.</w:t>
      </w:r>
    </w:p>
    <w:p w14:paraId="2382370D" w14:textId="77777777" w:rsidR="00643609" w:rsidRDefault="000651AA">
      <w:pPr>
        <w:keepNext/>
        <w:keepLines/>
        <w:spacing w:before="240" w:after="120" w:line="240" w:lineRule="auto"/>
      </w:pPr>
      <w:r>
        <w:rPr>
          <w:b/>
          <w:sz w:val="20"/>
        </w:rPr>
        <w:t>Gráfico 01</w:t>
      </w:r>
      <w:r>
        <w:rPr>
          <w:sz w:val="20"/>
        </w:rPr>
        <w:t xml:space="preserve"> - Distribuição Temporal das Publicações</w:t>
      </w:r>
    </w:p>
    <w:p w14:paraId="5586AC5D" w14:textId="77777777" w:rsidR="00643609" w:rsidRDefault="000651AA">
      <w:pPr>
        <w:keepNext/>
        <w:spacing w:before="120" w:after="120"/>
        <w:jc w:val="center"/>
      </w:pPr>
      <w:r>
        <w:rPr>
          <w:noProof/>
        </w:rPr>
        <w:drawing>
          <wp:inline distT="0" distB="0" distL="0" distR="0" wp14:anchorId="7C2B38B5" wp14:editId="212B8179">
            <wp:extent cx="3474720" cy="215341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25_img0.png"/>
                    <pic:cNvPicPr/>
                  </pic:nvPicPr>
                  <pic:blipFill>
                    <a:blip r:embed="rId34"/>
                    <a:stretch>
                      <a:fillRect/>
                    </a:stretch>
                  </pic:blipFill>
                  <pic:spPr>
                    <a:xfrm>
                      <a:off x="0" y="0"/>
                      <a:ext cx="3474720" cy="2153412"/>
                    </a:xfrm>
                    <a:prstGeom prst="rect">
                      <a:avLst/>
                    </a:prstGeom>
                  </pic:spPr>
                </pic:pic>
              </a:graphicData>
            </a:graphic>
          </wp:inline>
        </w:drawing>
      </w:r>
    </w:p>
    <w:p w14:paraId="2A8F3FEE" w14:textId="77777777" w:rsidR="00643609" w:rsidRDefault="000651AA">
      <w:pPr>
        <w:keepLines/>
        <w:spacing w:after="240" w:line="240" w:lineRule="auto"/>
      </w:pPr>
      <w:r>
        <w:rPr>
          <w:sz w:val="20"/>
        </w:rPr>
        <w:t>Fonte: Dados da Pesquisa (2026).</w:t>
      </w:r>
    </w:p>
    <w:p w14:paraId="549466A0" w14:textId="77777777" w:rsidR="00643609" w:rsidRDefault="000651AA">
      <w:pPr>
        <w:spacing w:after="0" w:line="360" w:lineRule="auto"/>
        <w:ind w:firstLine="709"/>
        <w:jc w:val="both"/>
      </w:pPr>
      <w:r>
        <w:t>A anál</w:t>
      </w:r>
      <w:r>
        <w:t>ise da eficiência acadêmica individual evidencia um padrão de participação recorrente entre determinados pesquisadores, indicando a existência de autores com maior volume de contribuições ao longo do período analisado. Entre os autores identificados, desta</w:t>
      </w:r>
      <w:r>
        <w:t>cam-se André Carlos Einsweiller, Elise Soerger Zaro e Ludmila de Melo Souza, que aparecem em duas publicações cada, configurando-se como os mais frequentes no corpus investigado. Dessa forma, observa-se a inexistência de um único autor dominante. Em síntes</w:t>
      </w:r>
      <w:r>
        <w:t>e, os resultados apontam para uma participação relativamente equilibrada entre esses autores, reforçando sua representatividade no conjunto dos estudos analisados.</w:t>
      </w:r>
    </w:p>
    <w:p w14:paraId="5C31E7CF" w14:textId="77777777" w:rsidR="00643609" w:rsidRDefault="000651AA">
      <w:pPr>
        <w:spacing w:after="0" w:line="360" w:lineRule="auto"/>
        <w:ind w:firstLine="709"/>
        <w:jc w:val="both"/>
      </w:pPr>
      <w:r>
        <w:lastRenderedPageBreak/>
        <w:t>Com o objetivo de identificar os principais direcionamentos temáticos presentes no corpus an</w:t>
      </w:r>
      <w:r>
        <w:t>alisado, foi realizado um mapeamento das palavras-chave utilizadas nos estudos, permitindo evidenciar os focos centrais das investigações científicas. Os resultados demonstram uma concentração significativa em torno de conceitos relacionados à sustentabili</w:t>
      </w:r>
      <w:r>
        <w:t>dade, governança e práticas ESG, indicando a consolidação desses temas no campo acadêmico.</w:t>
      </w:r>
    </w:p>
    <w:p w14:paraId="0196C852" w14:textId="77777777" w:rsidR="00643609" w:rsidRDefault="000651AA">
      <w:pPr>
        <w:spacing w:after="0" w:line="360" w:lineRule="auto"/>
        <w:ind w:firstLine="709"/>
        <w:jc w:val="both"/>
      </w:pPr>
      <w:r>
        <w:t>Além disso, identifica-se a recorrência de termos relacionados à evidenciação e à responsabilidade social corporativa, o que reforça a relevância da transparência no</w:t>
      </w:r>
      <w:r>
        <w:t xml:space="preserve"> contexto organizacional. Também se destacam expressões vinculadas à elaboração de relatórios e ao desempenho das empresas, evidenciando a preocupação com a mensuração e a divulgação de resultados. Nesse sentido, a ocorrência do termo transparência complem</w:t>
      </w:r>
      <w:r>
        <w:t>enta essa análise, sugerindo uma convergência entre práticas informacionais e mecanismos de governança corporativa. O Gráfico 02 sintetiza essa distribuição, permitindo uma visualização mais clara das frequências observadas.</w:t>
      </w:r>
    </w:p>
    <w:p w14:paraId="108F9648" w14:textId="77777777" w:rsidR="00643609" w:rsidRDefault="000651AA">
      <w:pPr>
        <w:keepNext/>
        <w:keepLines/>
        <w:spacing w:before="240" w:after="120" w:line="240" w:lineRule="auto"/>
      </w:pPr>
      <w:r>
        <w:rPr>
          <w:b/>
          <w:sz w:val="20"/>
        </w:rPr>
        <w:t>Gráfico 02 –</w:t>
      </w:r>
      <w:r>
        <w:rPr>
          <w:sz w:val="20"/>
        </w:rPr>
        <w:t xml:space="preserve"> Palavras-chaves ma</w:t>
      </w:r>
      <w:r>
        <w:rPr>
          <w:sz w:val="20"/>
        </w:rPr>
        <w:t>is recorrentes.</w:t>
      </w:r>
    </w:p>
    <w:p w14:paraId="6F850D3D" w14:textId="77777777" w:rsidR="00643609" w:rsidRDefault="000651AA">
      <w:pPr>
        <w:keepNext/>
        <w:spacing w:before="120" w:after="120"/>
        <w:jc w:val="center"/>
      </w:pPr>
      <w:r>
        <w:rPr>
          <w:noProof/>
        </w:rPr>
        <w:drawing>
          <wp:inline distT="0" distB="0" distL="0" distR="0" wp14:anchorId="1D12D367" wp14:editId="7644E517">
            <wp:extent cx="3657600" cy="2436876"/>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26_img0.png"/>
                    <pic:cNvPicPr/>
                  </pic:nvPicPr>
                  <pic:blipFill>
                    <a:blip r:embed="rId35"/>
                    <a:stretch>
                      <a:fillRect/>
                    </a:stretch>
                  </pic:blipFill>
                  <pic:spPr>
                    <a:xfrm>
                      <a:off x="0" y="0"/>
                      <a:ext cx="3657600" cy="2436876"/>
                    </a:xfrm>
                    <a:prstGeom prst="rect">
                      <a:avLst/>
                    </a:prstGeom>
                  </pic:spPr>
                </pic:pic>
              </a:graphicData>
            </a:graphic>
          </wp:inline>
        </w:drawing>
      </w:r>
    </w:p>
    <w:p w14:paraId="5E59D4A2" w14:textId="77777777" w:rsidR="00643609" w:rsidRDefault="000651AA">
      <w:pPr>
        <w:keepLines/>
        <w:spacing w:after="240" w:line="240" w:lineRule="auto"/>
      </w:pPr>
      <w:r>
        <w:rPr>
          <w:sz w:val="20"/>
        </w:rPr>
        <w:t>Fonte: Dados da pesquisa (2026).</w:t>
      </w:r>
    </w:p>
    <w:p w14:paraId="373F29A3" w14:textId="77777777" w:rsidR="00643609" w:rsidRDefault="000651AA">
      <w:pPr>
        <w:spacing w:after="0" w:line="360" w:lineRule="auto"/>
        <w:ind w:firstLine="709"/>
        <w:jc w:val="both"/>
      </w:pPr>
      <w:r>
        <w:t xml:space="preserve">Ademais, a análise das abordagens metodológicas dos estudos indica uma predominância de trabalhos que não apresentam classificação metodológica explícita em seus resumos, totalizando 15 artigos, o que </w:t>
      </w:r>
      <w:r>
        <w:t xml:space="preserve">sugere uma fragilidade na padronização da descrição metodológica das pesquisas. Entre os estudos que informam sua abordagem, observa-se uma leve predominância dos métodos quantitativos, com seis ocorrências. O Gráfico 03 apresenta a distribuição e </w:t>
      </w:r>
      <w:r>
        <w:lastRenderedPageBreak/>
        <w:t>evidenci</w:t>
      </w:r>
      <w:r>
        <w:t>a que, apesar da diversidade de abordagens, ainda há uma lacuna na clareza quanto à definição dos procedimentos metodológicos nos resumos analisados.</w:t>
      </w:r>
    </w:p>
    <w:p w14:paraId="0D2D2371" w14:textId="77777777" w:rsidR="00643609" w:rsidRDefault="000651AA">
      <w:pPr>
        <w:keepNext/>
        <w:keepLines/>
        <w:spacing w:before="240" w:after="120" w:line="240" w:lineRule="auto"/>
      </w:pPr>
      <w:r>
        <w:rPr>
          <w:b/>
          <w:sz w:val="20"/>
        </w:rPr>
        <w:t>Gráfico 03 -</w:t>
      </w:r>
      <w:r>
        <w:rPr>
          <w:sz w:val="20"/>
        </w:rPr>
        <w:t xml:space="preserve"> Classificação Metodológica das Produções</w:t>
      </w:r>
    </w:p>
    <w:p w14:paraId="17B555A2" w14:textId="77777777" w:rsidR="00643609" w:rsidRDefault="000651AA">
      <w:pPr>
        <w:keepNext/>
        <w:spacing w:before="120" w:after="120"/>
        <w:jc w:val="center"/>
      </w:pPr>
      <w:r>
        <w:rPr>
          <w:noProof/>
        </w:rPr>
        <w:drawing>
          <wp:inline distT="0" distB="0" distL="0" distR="0" wp14:anchorId="4C1598EB" wp14:editId="7398490F">
            <wp:extent cx="3886200" cy="20574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27_img0.png"/>
                    <pic:cNvPicPr/>
                  </pic:nvPicPr>
                  <pic:blipFill>
                    <a:blip r:embed="rId36"/>
                    <a:stretch>
                      <a:fillRect/>
                    </a:stretch>
                  </pic:blipFill>
                  <pic:spPr>
                    <a:xfrm>
                      <a:off x="0" y="0"/>
                      <a:ext cx="3886200" cy="2057400"/>
                    </a:xfrm>
                    <a:prstGeom prst="rect">
                      <a:avLst/>
                    </a:prstGeom>
                  </pic:spPr>
                </pic:pic>
              </a:graphicData>
            </a:graphic>
          </wp:inline>
        </w:drawing>
      </w:r>
    </w:p>
    <w:p w14:paraId="22A2E871" w14:textId="77777777" w:rsidR="00643609" w:rsidRDefault="000651AA">
      <w:pPr>
        <w:keepLines/>
        <w:spacing w:after="240" w:line="240" w:lineRule="auto"/>
      </w:pPr>
      <w:r>
        <w:rPr>
          <w:sz w:val="20"/>
        </w:rPr>
        <w:t>Fonte: Dados da Pesquisa (2026).</w:t>
      </w:r>
    </w:p>
    <w:p w14:paraId="5EBC008E" w14:textId="77777777" w:rsidR="00643609" w:rsidRDefault="000651AA">
      <w:pPr>
        <w:spacing w:after="0" w:line="360" w:lineRule="auto"/>
        <w:ind w:firstLine="709"/>
        <w:jc w:val="both"/>
      </w:pPr>
      <w:r>
        <w:t>Além disso, no qu</w:t>
      </w:r>
      <w:r>
        <w:t>e se refere à classificação dos objetivos das pesquisas, observa-se uma predominância expressiva da abordagem descritiva. O Gráfico 04 sintetiza essa distribuição e os resultados evidenciam que a amostra analisada ainda se concentra majoritariamente na des</w:t>
      </w:r>
      <w:r>
        <w:t>crição dos fenômenos, com menor ênfase em abordagens mais analíticas ou comparativas.</w:t>
      </w:r>
    </w:p>
    <w:p w14:paraId="6D6E28B1" w14:textId="77777777" w:rsidR="00643609" w:rsidRDefault="000651AA">
      <w:pPr>
        <w:keepNext/>
        <w:keepLines/>
        <w:spacing w:before="240" w:after="120" w:line="240" w:lineRule="auto"/>
      </w:pPr>
      <w:r>
        <w:rPr>
          <w:b/>
          <w:sz w:val="20"/>
        </w:rPr>
        <w:t>Gráfico 04 -</w:t>
      </w:r>
      <w:r>
        <w:rPr>
          <w:sz w:val="20"/>
        </w:rPr>
        <w:t xml:space="preserve"> Classificação quanto aos Objetivos da Pesquisa</w:t>
      </w:r>
    </w:p>
    <w:p w14:paraId="361BF7BA" w14:textId="77777777" w:rsidR="00643609" w:rsidRDefault="000651AA">
      <w:pPr>
        <w:keepNext/>
        <w:spacing w:before="120" w:after="120"/>
        <w:jc w:val="center"/>
      </w:pPr>
      <w:r>
        <w:rPr>
          <w:noProof/>
        </w:rPr>
        <w:drawing>
          <wp:inline distT="0" distB="0" distL="0" distR="0" wp14:anchorId="3437AE8C" wp14:editId="5730127D">
            <wp:extent cx="3589020" cy="2208276"/>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27_img1.png"/>
                    <pic:cNvPicPr/>
                  </pic:nvPicPr>
                  <pic:blipFill>
                    <a:blip r:embed="rId37"/>
                    <a:stretch>
                      <a:fillRect/>
                    </a:stretch>
                  </pic:blipFill>
                  <pic:spPr>
                    <a:xfrm>
                      <a:off x="0" y="0"/>
                      <a:ext cx="3589020" cy="2208276"/>
                    </a:xfrm>
                    <a:prstGeom prst="rect">
                      <a:avLst/>
                    </a:prstGeom>
                  </pic:spPr>
                </pic:pic>
              </a:graphicData>
            </a:graphic>
          </wp:inline>
        </w:drawing>
      </w:r>
    </w:p>
    <w:p w14:paraId="69FB63EC" w14:textId="77777777" w:rsidR="00643609" w:rsidRDefault="000651AA">
      <w:pPr>
        <w:keepLines/>
        <w:spacing w:after="240" w:line="240" w:lineRule="auto"/>
      </w:pPr>
      <w:r>
        <w:rPr>
          <w:sz w:val="20"/>
        </w:rPr>
        <w:t>Fonte: Dados da Pesquisa (2026).</w:t>
      </w:r>
    </w:p>
    <w:p w14:paraId="6C354E44" w14:textId="77777777" w:rsidR="00643609" w:rsidRDefault="000651AA">
      <w:pPr>
        <w:spacing w:after="0" w:line="360" w:lineRule="auto"/>
        <w:ind w:firstLine="709"/>
        <w:jc w:val="both"/>
      </w:pPr>
      <w:r>
        <w:t>Em relação à análise das técnicas de coleta de dados, verifica-se que a aná</w:t>
      </w:r>
      <w:r>
        <w:t xml:space="preserve">lise documental é a mais recorrente, com 22 ocorrências, consolidando-se como a principal estratégia metodológica nos estudos investigados. Em seguida, destacam-se as entrevistas, contribuindo para abordagens mais aprofundadas de </w:t>
      </w:r>
      <w:r>
        <w:lastRenderedPageBreak/>
        <w:t>caráter qualitativo. Confo</w:t>
      </w:r>
      <w:r>
        <w:t>rme ilustrado no Gráfico 05, a distribuição evidencia a predominância de fontes documentais, acompanhadas por métodos diretos de coleta em menor escala.</w:t>
      </w:r>
    </w:p>
    <w:p w14:paraId="5408785E" w14:textId="77777777" w:rsidR="00643609" w:rsidRDefault="000651AA">
      <w:pPr>
        <w:keepNext/>
        <w:keepLines/>
        <w:spacing w:before="240" w:after="120" w:line="240" w:lineRule="auto"/>
      </w:pPr>
      <w:r>
        <w:rPr>
          <w:b/>
          <w:sz w:val="20"/>
        </w:rPr>
        <w:t>Gráfico 05</w:t>
      </w:r>
      <w:r>
        <w:rPr>
          <w:sz w:val="20"/>
        </w:rPr>
        <w:t xml:space="preserve"> - Principais Técnicas de Coleta de Dados</w:t>
      </w:r>
    </w:p>
    <w:p w14:paraId="63FE9D1E" w14:textId="77777777" w:rsidR="00643609" w:rsidRDefault="000651AA">
      <w:pPr>
        <w:keepNext/>
        <w:spacing w:before="120" w:after="120"/>
        <w:jc w:val="center"/>
      </w:pPr>
      <w:r>
        <w:rPr>
          <w:noProof/>
        </w:rPr>
        <w:drawing>
          <wp:inline distT="0" distB="0" distL="0" distR="0" wp14:anchorId="6A42393F" wp14:editId="099B1F0D">
            <wp:extent cx="3558540" cy="21955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28_img0.png"/>
                    <pic:cNvPicPr/>
                  </pic:nvPicPr>
                  <pic:blipFill>
                    <a:blip r:embed="rId38"/>
                    <a:stretch>
                      <a:fillRect/>
                    </a:stretch>
                  </pic:blipFill>
                  <pic:spPr>
                    <a:xfrm>
                      <a:off x="0" y="0"/>
                      <a:ext cx="3558540" cy="2195500"/>
                    </a:xfrm>
                    <a:prstGeom prst="rect">
                      <a:avLst/>
                    </a:prstGeom>
                  </pic:spPr>
                </pic:pic>
              </a:graphicData>
            </a:graphic>
          </wp:inline>
        </w:drawing>
      </w:r>
    </w:p>
    <w:p w14:paraId="39DE621D" w14:textId="77777777" w:rsidR="00643609" w:rsidRDefault="000651AA">
      <w:pPr>
        <w:keepLines/>
        <w:spacing w:after="240" w:line="240" w:lineRule="auto"/>
      </w:pPr>
      <w:r>
        <w:rPr>
          <w:sz w:val="20"/>
        </w:rPr>
        <w:t>Fonte: Dados da Pesquisa (2026).</w:t>
      </w:r>
    </w:p>
    <w:p w14:paraId="2366C0B0" w14:textId="77777777" w:rsidR="00643609" w:rsidRDefault="000651AA">
      <w:pPr>
        <w:spacing w:after="0" w:line="360" w:lineRule="auto"/>
        <w:ind w:firstLine="709"/>
        <w:jc w:val="both"/>
      </w:pPr>
      <w:r>
        <w:t>As principais té</w:t>
      </w:r>
      <w:r>
        <w:t>cnicas de tratamento de dados (Gráfico 06) indicam a predominância da análise de conteúdo, com sete ocorrências, consolidando-se como o método mais utilizado. Destaca-se que a análise de conteúdo é fundamental para converter dados qualitativos presentes em</w:t>
      </w:r>
      <w:r>
        <w:t xml:space="preserve"> relatórios em variáveis mensuráveis, possibilitando sua aplicação em testes científicos. Em seguida, observam-se os modelos econométricos, com seis registros, seguidos pela análise documental e pela categoria “não apresenta”, ambas com cinco ocorrências, </w:t>
      </w:r>
      <w:r>
        <w:t>o que evidencia uma distribuição relevante entre estudos que explicitam suas técnicas e aqueles que não as informam nos resumos. Ressalta-se, ainda, a existência de pesquisas que combinam diferentes técnicas de análise, realizando triangulação metodológica</w:t>
      </w:r>
      <w:r>
        <w:t>.</w:t>
      </w:r>
    </w:p>
    <w:p w14:paraId="37FAE4B9" w14:textId="77777777" w:rsidR="00643609" w:rsidRDefault="000651AA">
      <w:pPr>
        <w:keepNext/>
        <w:keepLines/>
        <w:spacing w:before="240" w:after="120" w:line="240" w:lineRule="auto"/>
      </w:pPr>
      <w:r>
        <w:rPr>
          <w:b/>
          <w:sz w:val="20"/>
        </w:rPr>
        <w:lastRenderedPageBreak/>
        <w:t>Gráfico 06 -</w:t>
      </w:r>
      <w:r>
        <w:rPr>
          <w:sz w:val="20"/>
        </w:rPr>
        <w:t xml:space="preserve"> Principais Técnicas de Análise de dados</w:t>
      </w:r>
    </w:p>
    <w:p w14:paraId="2F255D4F" w14:textId="77777777" w:rsidR="00643609" w:rsidRDefault="000651AA">
      <w:pPr>
        <w:keepNext/>
        <w:spacing w:before="120" w:after="120"/>
        <w:jc w:val="center"/>
      </w:pPr>
      <w:r>
        <w:rPr>
          <w:noProof/>
        </w:rPr>
        <w:drawing>
          <wp:inline distT="0" distB="0" distL="0" distR="0" wp14:anchorId="1F02DE30" wp14:editId="4C128E36">
            <wp:extent cx="3680460" cy="3374136"/>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29_img0.png"/>
                    <pic:cNvPicPr/>
                  </pic:nvPicPr>
                  <pic:blipFill>
                    <a:blip r:embed="rId39"/>
                    <a:stretch>
                      <a:fillRect/>
                    </a:stretch>
                  </pic:blipFill>
                  <pic:spPr>
                    <a:xfrm>
                      <a:off x="0" y="0"/>
                      <a:ext cx="3680460" cy="3374136"/>
                    </a:xfrm>
                    <a:prstGeom prst="rect">
                      <a:avLst/>
                    </a:prstGeom>
                  </pic:spPr>
                </pic:pic>
              </a:graphicData>
            </a:graphic>
          </wp:inline>
        </w:drawing>
      </w:r>
    </w:p>
    <w:p w14:paraId="477959D8" w14:textId="77777777" w:rsidR="00643609" w:rsidRDefault="000651AA">
      <w:pPr>
        <w:keepLines/>
        <w:spacing w:after="240" w:line="240" w:lineRule="auto"/>
      </w:pPr>
      <w:r>
        <w:rPr>
          <w:sz w:val="20"/>
        </w:rPr>
        <w:t>Fonte: Dados da Pesquisa (2026).</w:t>
      </w:r>
    </w:p>
    <w:p w14:paraId="15788B83" w14:textId="77777777" w:rsidR="00643609" w:rsidRDefault="000651AA">
      <w:pPr>
        <w:spacing w:after="0" w:line="360" w:lineRule="auto"/>
        <w:ind w:firstLine="709"/>
        <w:jc w:val="both"/>
      </w:pPr>
      <w:r>
        <w:t xml:space="preserve">Por fim, a síntese das pesquisas realizadas no Congresso USP, por meio da análise de conteúdo, possibilita a identificação de quatro eixos temáticos centrais que </w:t>
      </w:r>
      <w:r>
        <w:t>delimitam a fronteira atual do conhecimento em contabilidade e governança, conforme apresentado no Quadro 01.</w:t>
      </w:r>
    </w:p>
    <w:tbl>
      <w:tblPr>
        <w:tblStyle w:val="Tabelacomgrade"/>
        <w:tblW w:w="0" w:type="auto"/>
        <w:jc w:val="center"/>
        <w:tblLayout w:type="fixed"/>
        <w:tblLook w:val="04A0" w:firstRow="1" w:lastRow="0" w:firstColumn="1" w:lastColumn="0" w:noHBand="0" w:noVBand="1"/>
      </w:tblPr>
      <w:tblGrid>
        <w:gridCol w:w="3024"/>
        <w:gridCol w:w="3024"/>
        <w:gridCol w:w="3024"/>
      </w:tblGrid>
      <w:tr w:rsidR="00643609" w14:paraId="5425E586" w14:textId="77777777">
        <w:trPr>
          <w:cantSplit/>
          <w:tblHeader/>
          <w:jc w:val="center"/>
        </w:trPr>
        <w:tc>
          <w:tcPr>
            <w:tcW w:w="9070" w:type="dxa"/>
            <w:gridSpan w:val="3"/>
            <w:tcBorders>
              <w:top w:val="nil"/>
              <w:left w:val="nil"/>
              <w:bottom w:val="nil"/>
              <w:right w:val="nil"/>
            </w:tcBorders>
          </w:tcPr>
          <w:p w14:paraId="4C8CE479" w14:textId="77777777" w:rsidR="00643609" w:rsidRDefault="000651AA">
            <w:pPr>
              <w:keepNext/>
              <w:keepLines/>
              <w:spacing w:after="120"/>
            </w:pPr>
            <w:r>
              <w:rPr>
                <w:b/>
                <w:sz w:val="20"/>
              </w:rPr>
              <w:lastRenderedPageBreak/>
              <w:t>Quadro 01 -</w:t>
            </w:r>
            <w:r>
              <w:rPr>
                <w:sz w:val="20"/>
              </w:rPr>
              <w:t xml:space="preserve"> Categorias Temáticas mais Recorrentes</w:t>
            </w:r>
          </w:p>
        </w:tc>
      </w:tr>
      <w:tr w:rsidR="00643609" w14:paraId="0B820142" w14:textId="77777777">
        <w:trPr>
          <w:cantSplit/>
          <w:tblHeader/>
          <w:jc w:val="center"/>
        </w:trPr>
        <w:tc>
          <w:tcPr>
            <w:tcW w:w="3024" w:type="dxa"/>
            <w:shd w:val="clear" w:color="auto" w:fill="E7E6E6"/>
          </w:tcPr>
          <w:p w14:paraId="4CE33147" w14:textId="77777777" w:rsidR="00643609" w:rsidRDefault="000651AA">
            <w:pPr>
              <w:keepNext/>
            </w:pPr>
            <w:r>
              <w:rPr>
                <w:b/>
                <w:sz w:val="20"/>
              </w:rPr>
              <w:t>Nome da Categoria</w:t>
            </w:r>
          </w:p>
        </w:tc>
        <w:tc>
          <w:tcPr>
            <w:tcW w:w="3024" w:type="dxa"/>
            <w:shd w:val="clear" w:color="auto" w:fill="E7E6E6"/>
          </w:tcPr>
          <w:p w14:paraId="42E64457" w14:textId="77777777" w:rsidR="00643609" w:rsidRDefault="000651AA">
            <w:pPr>
              <w:keepNext/>
            </w:pPr>
            <w:r>
              <w:rPr>
                <w:b/>
                <w:sz w:val="20"/>
              </w:rPr>
              <w:t>Quantidade de trabalhos</w:t>
            </w:r>
          </w:p>
        </w:tc>
        <w:tc>
          <w:tcPr>
            <w:tcW w:w="3024" w:type="dxa"/>
            <w:shd w:val="clear" w:color="auto" w:fill="E7E6E6"/>
          </w:tcPr>
          <w:p w14:paraId="16D88564" w14:textId="77777777" w:rsidR="00643609" w:rsidRDefault="000651AA">
            <w:pPr>
              <w:keepNext/>
            </w:pPr>
            <w:r>
              <w:rPr>
                <w:b/>
                <w:sz w:val="20"/>
              </w:rPr>
              <w:t>Breve Discussão da Categoria</w:t>
            </w:r>
          </w:p>
        </w:tc>
      </w:tr>
      <w:tr w:rsidR="00643609" w14:paraId="4C4EE517" w14:textId="77777777">
        <w:trPr>
          <w:cantSplit/>
          <w:jc w:val="center"/>
        </w:trPr>
        <w:tc>
          <w:tcPr>
            <w:tcW w:w="3024" w:type="dxa"/>
          </w:tcPr>
          <w:p w14:paraId="1576EFBC" w14:textId="77777777" w:rsidR="00643609" w:rsidRDefault="000651AA">
            <w:pPr>
              <w:keepNext/>
            </w:pPr>
            <w:r>
              <w:rPr>
                <w:sz w:val="20"/>
              </w:rPr>
              <w:t xml:space="preserve">Relato </w:t>
            </w:r>
            <w:r>
              <w:rPr>
                <w:sz w:val="20"/>
              </w:rPr>
              <w:t>Integrado (RI) e Criação de Valor</w:t>
            </w:r>
          </w:p>
        </w:tc>
        <w:tc>
          <w:tcPr>
            <w:tcW w:w="3024" w:type="dxa"/>
          </w:tcPr>
          <w:p w14:paraId="0ED7BFF7" w14:textId="77777777" w:rsidR="00643609" w:rsidRDefault="000651AA">
            <w:pPr>
              <w:keepNext/>
            </w:pPr>
            <w:r>
              <w:rPr>
                <w:sz w:val="20"/>
              </w:rPr>
              <w:t>9</w:t>
            </w:r>
          </w:p>
        </w:tc>
        <w:tc>
          <w:tcPr>
            <w:tcW w:w="3024" w:type="dxa"/>
          </w:tcPr>
          <w:p w14:paraId="05EC10D8" w14:textId="77777777" w:rsidR="00643609" w:rsidRDefault="000651AA">
            <w:pPr>
              <w:keepNext/>
            </w:pPr>
            <w:r>
              <w:rPr>
                <w:sz w:val="20"/>
              </w:rPr>
              <w:t>Esta categoria abrange estudos que associam a divulgação de informações não financeiras à criação de valor organizacional. As pesquisas destacam o Relato Integrado como uma ferramenta de comunicação estratégica, capaz de</w:t>
            </w:r>
            <w:r>
              <w:rPr>
                <w:sz w:val="20"/>
              </w:rPr>
              <w:t xml:space="preserve"> integrar e aproximar as dimensões econômica, social e ambiental do desempenho das organizações.</w:t>
            </w:r>
          </w:p>
        </w:tc>
      </w:tr>
      <w:tr w:rsidR="00643609" w14:paraId="274678C5" w14:textId="77777777">
        <w:trPr>
          <w:cantSplit/>
          <w:jc w:val="center"/>
        </w:trPr>
        <w:tc>
          <w:tcPr>
            <w:tcW w:w="3024" w:type="dxa"/>
          </w:tcPr>
          <w:p w14:paraId="09B78D28" w14:textId="77777777" w:rsidR="00643609" w:rsidRDefault="000651AA">
            <w:pPr>
              <w:keepNext/>
            </w:pPr>
            <w:r>
              <w:rPr>
                <w:sz w:val="20"/>
              </w:rPr>
              <w:t>Práticas ESG e Responsabilidade Social Corporativa</w:t>
            </w:r>
          </w:p>
        </w:tc>
        <w:tc>
          <w:tcPr>
            <w:tcW w:w="3024" w:type="dxa"/>
          </w:tcPr>
          <w:p w14:paraId="61AEFD4A" w14:textId="77777777" w:rsidR="00643609" w:rsidRDefault="000651AA">
            <w:pPr>
              <w:keepNext/>
            </w:pPr>
            <w:r>
              <w:rPr>
                <w:sz w:val="20"/>
              </w:rPr>
              <w:t>7</w:t>
            </w:r>
          </w:p>
        </w:tc>
        <w:tc>
          <w:tcPr>
            <w:tcW w:w="3024" w:type="dxa"/>
          </w:tcPr>
          <w:p w14:paraId="1137DDD9" w14:textId="77777777" w:rsidR="00643609" w:rsidRDefault="000651AA">
            <w:pPr>
              <w:keepNext/>
            </w:pPr>
            <w:r>
              <w:rPr>
                <w:sz w:val="20"/>
              </w:rPr>
              <w:t>Os estudos desta categoria enfatizam a adoção de práticas ESG e iniciativas de responsabilidade social co</w:t>
            </w:r>
            <w:r>
              <w:rPr>
                <w:sz w:val="20"/>
              </w:rPr>
              <w:t>mo componentes centrais da gestão empresarial. De modo geral, os achados indicam que tais práticas contribuem para o fortalecimento da reputação corporativa, ampliam a transparência organizacional e reforçam o relacionamento com os stakeholders.</w:t>
            </w:r>
          </w:p>
        </w:tc>
      </w:tr>
      <w:tr w:rsidR="00643609" w14:paraId="54AAC121" w14:textId="77777777">
        <w:trPr>
          <w:cantSplit/>
          <w:jc w:val="center"/>
        </w:trPr>
        <w:tc>
          <w:tcPr>
            <w:tcW w:w="3024" w:type="dxa"/>
          </w:tcPr>
          <w:p w14:paraId="5593D41D" w14:textId="77777777" w:rsidR="00643609" w:rsidRDefault="000651AA">
            <w:pPr>
              <w:keepNext/>
            </w:pPr>
            <w:r>
              <w:rPr>
                <w:sz w:val="20"/>
              </w:rPr>
              <w:t>Mudanças Climáticas e Desempenho de Carbono</w:t>
            </w:r>
          </w:p>
        </w:tc>
        <w:tc>
          <w:tcPr>
            <w:tcW w:w="3024" w:type="dxa"/>
          </w:tcPr>
          <w:p w14:paraId="233D3F5E" w14:textId="77777777" w:rsidR="00643609" w:rsidRDefault="000651AA">
            <w:pPr>
              <w:keepNext/>
            </w:pPr>
            <w:r>
              <w:rPr>
                <w:sz w:val="20"/>
              </w:rPr>
              <w:t>7</w:t>
            </w:r>
          </w:p>
        </w:tc>
        <w:tc>
          <w:tcPr>
            <w:tcW w:w="3024" w:type="dxa"/>
          </w:tcPr>
          <w:p w14:paraId="7FB4C306" w14:textId="77777777" w:rsidR="00643609" w:rsidRDefault="000651AA">
            <w:pPr>
              <w:keepNext/>
            </w:pPr>
            <w:r>
              <w:rPr>
                <w:sz w:val="20"/>
              </w:rPr>
              <w:t xml:space="preserve">Esta categoria trata da relação entre os impactos ambientais, especialmente as mudanças climáticas, e a mensuração do desempenho de carbono das organizações. Os estudos evidenciam uma preocupação crescente com </w:t>
            </w:r>
            <w:r>
              <w:rPr>
                <w:sz w:val="20"/>
              </w:rPr>
              <w:t>as metas de redução de emissões e com a adaptação das empresas às exigências de sustentabilidade.</w:t>
            </w:r>
          </w:p>
        </w:tc>
      </w:tr>
      <w:tr w:rsidR="00643609" w14:paraId="4DE1BA5C" w14:textId="77777777">
        <w:trPr>
          <w:cantSplit/>
          <w:jc w:val="center"/>
        </w:trPr>
        <w:tc>
          <w:tcPr>
            <w:tcW w:w="3024" w:type="dxa"/>
          </w:tcPr>
          <w:p w14:paraId="35BFE3E2" w14:textId="77777777" w:rsidR="00643609" w:rsidRDefault="000651AA">
            <w:r>
              <w:rPr>
                <w:sz w:val="20"/>
              </w:rPr>
              <w:t>Normas, Agenda Global e Estratégia de Divulgação</w:t>
            </w:r>
          </w:p>
        </w:tc>
        <w:tc>
          <w:tcPr>
            <w:tcW w:w="3024" w:type="dxa"/>
          </w:tcPr>
          <w:p w14:paraId="1D96273A" w14:textId="77777777" w:rsidR="00643609" w:rsidRDefault="000651AA">
            <w:r>
              <w:rPr>
                <w:sz w:val="20"/>
              </w:rPr>
              <w:t>4</w:t>
            </w:r>
          </w:p>
        </w:tc>
        <w:tc>
          <w:tcPr>
            <w:tcW w:w="3024" w:type="dxa"/>
          </w:tcPr>
          <w:p w14:paraId="246B928C" w14:textId="77777777" w:rsidR="00643609" w:rsidRDefault="000651AA">
            <w:r>
              <w:rPr>
                <w:sz w:val="20"/>
              </w:rPr>
              <w:t>Os estudos reunidos nesta categoria analisam a influência de normas, diretrizes internacionais e da agenda</w:t>
            </w:r>
            <w:r>
              <w:rPr>
                <w:sz w:val="20"/>
              </w:rPr>
              <w:t xml:space="preserve"> global de sustentabilidade nas práticas de divulgação corporativa. Observa-se que tais referenciais contribuem para orientar a padronização das informações e fortalecer a transparência institucional.</w:t>
            </w:r>
          </w:p>
        </w:tc>
      </w:tr>
    </w:tbl>
    <w:p w14:paraId="67B7296C" w14:textId="77777777" w:rsidR="00643609" w:rsidRDefault="00643609">
      <w:pPr>
        <w:spacing w:after="0" w:line="240" w:lineRule="auto"/>
      </w:pPr>
    </w:p>
    <w:p w14:paraId="78BCF171" w14:textId="77777777" w:rsidR="00643609" w:rsidRDefault="000651AA">
      <w:pPr>
        <w:keepLines/>
        <w:spacing w:after="240" w:line="240" w:lineRule="auto"/>
      </w:pPr>
      <w:r>
        <w:rPr>
          <w:sz w:val="20"/>
        </w:rPr>
        <w:t>Fonte: Dados da pesquisa (2026).</w:t>
      </w:r>
    </w:p>
    <w:p w14:paraId="03877AC2" w14:textId="77777777" w:rsidR="00643609" w:rsidRDefault="000651AA">
      <w:pPr>
        <w:spacing w:after="0" w:line="360" w:lineRule="auto"/>
        <w:ind w:firstLine="709"/>
        <w:jc w:val="both"/>
      </w:pPr>
      <w:r>
        <w:t>Dessa forma, os dado</w:t>
      </w:r>
      <w:r>
        <w:t xml:space="preserve">s apresentados nas seções anteriores consolidam um panorama de evolução e continuidade das temáticas de sustentabilidade e governança no contexto acadêmico do Congresso USP. A convergência entre rigor </w:t>
      </w:r>
      <w:r>
        <w:lastRenderedPageBreak/>
        <w:t>metodológico e relevância temática evidencia que a comu</w:t>
      </w:r>
      <w:r>
        <w:t>nidade científica brasileira apresenta capacidade de resposta às pressões regulatórias e sociais por maior transparência. Esse cenário de maturidade sustenta as considerações finais apresentadas a seguir, nas quais são discutidos os impactos transversais e</w:t>
      </w:r>
      <w:r>
        <w:t xml:space="preserve"> as perspectivas futuras para a profissão contábil diante dos desafios globais contemporâneos.</w:t>
      </w:r>
    </w:p>
    <w:p w14:paraId="7F7D1DF1" w14:textId="77777777" w:rsidR="00643609" w:rsidRDefault="000651AA">
      <w:pPr>
        <w:keepNext/>
        <w:spacing w:before="360" w:after="240" w:line="360" w:lineRule="auto"/>
      </w:pPr>
      <w:r>
        <w:rPr>
          <w:b/>
        </w:rPr>
        <w:t>4 CONSIDERAÇÕES FINAIS</w:t>
      </w:r>
    </w:p>
    <w:p w14:paraId="7DF2B2F7" w14:textId="77777777" w:rsidR="00643609" w:rsidRDefault="000651AA">
      <w:pPr>
        <w:spacing w:after="0" w:line="360" w:lineRule="auto"/>
        <w:ind w:firstLine="709"/>
        <w:jc w:val="both"/>
      </w:pPr>
      <w:r>
        <w:t>O objetivo deste estudo foi analisar, por meio da metodologia da Revisão Sistematizada da Literatura (RSzL), a produção científica sobre “</w:t>
      </w:r>
      <w:r>
        <w:t>contabilidade ambiental” no Congresso USP de Iniciação Científica em Contabilidade entre os anos de 2021 e 2025. Para tal, foi conduzida uma pesquisa bibliográfica, tendo como corpus os resumos de 27 estudos.</w:t>
      </w:r>
    </w:p>
    <w:p w14:paraId="62C896DA" w14:textId="77777777" w:rsidR="00643609" w:rsidRDefault="000651AA">
      <w:pPr>
        <w:spacing w:after="0" w:line="360" w:lineRule="auto"/>
        <w:ind w:firstLine="709"/>
        <w:jc w:val="both"/>
      </w:pPr>
      <w:r>
        <w:t>A questão norteadora foi: Como a temática “cont</w:t>
      </w:r>
      <w:r>
        <w:t>abilidade ambiental” tem sido discutida no Congresso USP de Iniciação Científica em Contabilidade? E chegou-se à seguinte resposta: A pesquisa sobre contabilidade ambiental no evento analisado tem apresentado crescimento ao longo dos anos. Observa-se que a</w:t>
      </w:r>
      <w:r>
        <w:t xml:space="preserve"> maior parte dos estudos possui abordagem descritiva, com predominância do uso de técnicas de coleta de dados documentais e da análise de conteúdo. As discussões desenvolvidas podem ser organizadas em quatro grandes categorias temáticas, evidenciando a div</w:t>
      </w:r>
      <w:r>
        <w:t>ersidade de assuntos abordados no campo da sustentabilidade ambiental dentro da contabilidade. Entretanto, identifica-se uma limitação recorrente relacionada à insuficiência de detalhamento dos procedimentos metodológicos nos resumos dos artigos, o que com</w:t>
      </w:r>
      <w:r>
        <w:t>promete a clareza e a compreensão mais aprofundada das características das pesquisas apresentadas.</w:t>
      </w:r>
    </w:p>
    <w:p w14:paraId="44502367" w14:textId="77777777" w:rsidR="00643609" w:rsidRDefault="000651AA">
      <w:pPr>
        <w:spacing w:after="0" w:line="360" w:lineRule="auto"/>
        <w:ind w:firstLine="709"/>
        <w:jc w:val="both"/>
      </w:pPr>
      <w:r>
        <w:t>Como limitação, destaca-se que este trabalho analisou exclusivamente o congresso de iniciação científica, o qual integra um evento mais amplo e de caráter in</w:t>
      </w:r>
      <w:r>
        <w:t>ternacionalizado. No entanto, conforme mencionado anteriormente, este estudo corresponde a um recorte de um projeto de pesquisa mais abrangente, que já vem investigando outros anais de eventos. Nesse contexto, ressalta-se que o Congresso USP, por apresenta</w:t>
      </w:r>
      <w:r>
        <w:t>r um nível acadêmico mais avançado, foi objeto de análise específica em um outro artigo.</w:t>
      </w:r>
    </w:p>
    <w:p w14:paraId="516B0A12" w14:textId="77777777" w:rsidR="00643609" w:rsidRDefault="000651AA">
      <w:pPr>
        <w:spacing w:after="0" w:line="360" w:lineRule="auto"/>
        <w:ind w:firstLine="709"/>
        <w:jc w:val="both"/>
      </w:pPr>
      <w:r>
        <w:lastRenderedPageBreak/>
        <w:t>Apesar da limitação mencionada, este trabalho contribui ao evidenciar como a temática tem sido abordada em um evento de iniciação científica, podendo estimular estudan</w:t>
      </w:r>
      <w:r>
        <w:t>tes de graduação a desenvolverem pesquisas na área, a partir da identificação das principais temáticas, bem como das técnicas de coleta e análise de dados mais utilizadas. Além disso, o estudo reforça a necessidade de maior atenção à elaboração dos resumos</w:t>
      </w:r>
      <w:r>
        <w:t>, frequentemente negligenciados por serem a etapa final de produção, embora sejam fundamentais para atrair leitores e favorecer a compreensão do conteúdo das pesquisas. Para investigações futuras, sugere-se a aplicação dos prompts utilizados neste estudo e</w:t>
      </w:r>
      <w:r>
        <w:t>m artigos provenientes de outros eventos, bem como sua adaptação a diferentes temáticas, de modo a ampliar o debate sobre o uso da inteligência artificial na pesquisa bibliográfica em contabilidade.</w:t>
      </w:r>
    </w:p>
    <w:p w14:paraId="126E44B6" w14:textId="77777777" w:rsidR="00643609" w:rsidRDefault="000651AA">
      <w:pPr>
        <w:keepNext/>
        <w:spacing w:before="360" w:after="240" w:line="360" w:lineRule="auto"/>
      </w:pPr>
      <w:r>
        <w:rPr>
          <w:b/>
        </w:rPr>
        <w:t>DECLARAÇÃO DE USO DE INTELIGÊNCIA ARTIFICIAL</w:t>
      </w:r>
    </w:p>
    <w:p w14:paraId="2B4EAA5F" w14:textId="77777777" w:rsidR="00643609" w:rsidRDefault="000651AA">
      <w:pPr>
        <w:spacing w:after="0" w:line="360" w:lineRule="auto"/>
        <w:ind w:firstLine="709"/>
        <w:jc w:val="both"/>
      </w:pPr>
      <w:r>
        <w:t xml:space="preserve">Declaramos, </w:t>
      </w:r>
      <w:r>
        <w:t>para os devidos fins, que utilizamos as Inteligências Artificiais Generativas (IAG) Gemini e Chatgpt nas versões gratuitas, para dar suporte nas seguintes etapas da pesquisa: execução das etapas metodológicas da revisão sistematizada da literatura, tal com</w:t>
      </w:r>
      <w:r>
        <w:t>o já sinalizado em seção própria; revisão ortográfica do texto; tradução do resumo para língua estrangeira, revisão de normas ABNT. Os autores assumem integral responsabilidade pelo conteúdo intelectual e técnico do trabalho, em conformidade com a Portaria</w:t>
      </w:r>
      <w:r>
        <w:t xml:space="preserve"> CNPq n. 2.664/2026.</w:t>
      </w:r>
    </w:p>
    <w:p w14:paraId="03EAD775" w14:textId="77777777" w:rsidR="00643609" w:rsidRDefault="000651AA">
      <w:pPr>
        <w:keepNext/>
        <w:spacing w:before="360" w:after="240" w:line="240" w:lineRule="auto"/>
      </w:pPr>
      <w:r>
        <w:rPr>
          <w:b/>
        </w:rPr>
        <w:t>REFERÊNCIAS</w:t>
      </w:r>
    </w:p>
    <w:p w14:paraId="635847EB" w14:textId="77777777" w:rsidR="00643609" w:rsidRDefault="000651AA">
      <w:pPr>
        <w:spacing w:after="0" w:line="240" w:lineRule="auto"/>
        <w:jc w:val="both"/>
      </w:pPr>
      <w:r>
        <w:t>BARDIN, L.</w:t>
      </w:r>
      <w:r>
        <w:rPr>
          <w:b/>
        </w:rPr>
        <w:t xml:space="preserve"> Análise de Conteúdo</w:t>
      </w:r>
      <w:r>
        <w:t>. Edições Loyola, Lisboa, Portugal, 2010.</w:t>
      </w:r>
    </w:p>
    <w:p w14:paraId="4CCBE6D9" w14:textId="77777777" w:rsidR="00643609" w:rsidRDefault="000651AA">
      <w:pPr>
        <w:spacing w:after="240" w:line="240" w:lineRule="auto"/>
      </w:pPr>
      <w:r>
        <w:t xml:space="preserve">BARRÊTO, D. M.; BARBOSA, J. E. S.; JESUS, L. S. de; GALVÃO, N. M. dos S. Uma revisão sistematizada da literatura publicada na USP </w:t>
      </w:r>
      <w:r>
        <w:t>International Conference on Accounting na temática “Contabilidade Ambiental”.</w:t>
      </w:r>
      <w:r>
        <w:rPr>
          <w:b/>
        </w:rPr>
        <w:t xml:space="preserve"> Revista Ibero-Americana de Humanidades, Ciências e Educação</w:t>
      </w:r>
      <w:r>
        <w:t>, [</w:t>
      </w:r>
      <w:r>
        <w:rPr>
          <w:i/>
        </w:rPr>
        <w:t>S. l.</w:t>
      </w:r>
      <w:r>
        <w:t xml:space="preserve">], v. 12, n. 5, p. 1–15, 2026. DOI: </w:t>
      </w:r>
      <w:r>
        <w:t>https://doi.org/10.51891/rease.v12i5.26666. Acesso em: 26 jun. 2026.</w:t>
      </w:r>
    </w:p>
    <w:p w14:paraId="456402ED" w14:textId="77777777" w:rsidR="00643609" w:rsidRDefault="000651AA">
      <w:pPr>
        <w:spacing w:after="240" w:line="240" w:lineRule="auto"/>
      </w:pPr>
      <w:r>
        <w:t>CODINA, L. Revisiones bibliográficas sistematizadas en Ciencias Humanas y Sociales. 1: Fundamentos. In: LOPEZOSA, C.; DÍAZ-NOCI, J.; CODINA, L, (Organizadores)</w:t>
      </w:r>
      <w:r>
        <w:rPr>
          <w:b/>
        </w:rPr>
        <w:t xml:space="preserve"> Methodos Anuario de Métodos</w:t>
      </w:r>
      <w:r>
        <w:rPr>
          <w:b/>
        </w:rPr>
        <w:t xml:space="preserve"> de Investigación en Comunicación Social,</w:t>
      </w:r>
      <w:r>
        <w:t xml:space="preserve"> 1. Barcelona: Universitat Pompeu Fabra; 2020. p. 50-60. Disponível em: http://doi.org/10.31009/methodos.2020.i01.05. Acesso em: 29 jan. 2026.</w:t>
      </w:r>
    </w:p>
    <w:p w14:paraId="28D10DC0" w14:textId="77777777" w:rsidR="00643609" w:rsidRDefault="000651AA">
      <w:pPr>
        <w:spacing w:after="240" w:line="240" w:lineRule="auto"/>
      </w:pPr>
      <w:r>
        <w:lastRenderedPageBreak/>
        <w:t>COMITÊ DE PRONUNCIAMENTOS CONTÁBEIS (CPC).</w:t>
      </w:r>
      <w:r>
        <w:rPr>
          <w:b/>
        </w:rPr>
        <w:t xml:space="preserve"> Pronunciamento Técnico CPC 04</w:t>
      </w:r>
      <w:r>
        <w:rPr>
          <w:b/>
        </w:rPr>
        <w:t>: Ativo Intangível</w:t>
      </w:r>
      <w:r>
        <w:t>. Brasília, DF: 2010. Disponível em: https://s3.sa-east-1.amazonaws.com/static.cpc.aatb.com.br/Documentos/187_CPC_04_R1_rev %2021.pdf. Acesso em: 09 mar. 2026.</w:t>
      </w:r>
    </w:p>
    <w:p w14:paraId="77093572" w14:textId="77777777" w:rsidR="00643609" w:rsidRDefault="000651AA">
      <w:pPr>
        <w:spacing w:after="240" w:line="240" w:lineRule="auto"/>
      </w:pPr>
      <w:r>
        <w:t>COMITÊ DE PRONUNCIAMENTOS CONTÁBEIS (CPC).</w:t>
      </w:r>
      <w:r>
        <w:rPr>
          <w:b/>
        </w:rPr>
        <w:t xml:space="preserve"> Pronunciamento Técnico CPC 25: Prov</w:t>
      </w:r>
      <w:r>
        <w:rPr>
          <w:b/>
        </w:rPr>
        <w:t>isões, Passivos Contingentes e Ativos Contingentes</w:t>
      </w:r>
      <w:r>
        <w:t>. Brasília, DF: 2009. Disponível em: https://s3.sa-east-1.amazonaws.com/static.cpc.aatb.com.br/Documentos/304_CPC_25_rev%2019.pdf. Acesso em: 09 mar. 2026.</w:t>
      </w:r>
    </w:p>
    <w:p w14:paraId="3754472F" w14:textId="77777777" w:rsidR="00643609" w:rsidRDefault="000651AA">
      <w:pPr>
        <w:spacing w:after="240" w:line="240" w:lineRule="auto"/>
      </w:pPr>
      <w:r>
        <w:t>COMITÊ DE PRONUNCIAMENTOS CONTÁBEIS (CPC).</w:t>
      </w:r>
      <w:r>
        <w:rPr>
          <w:b/>
        </w:rPr>
        <w:t xml:space="preserve"> Pronunc</w:t>
      </w:r>
      <w:r>
        <w:rPr>
          <w:b/>
        </w:rPr>
        <w:t>iamento Técnico CPC 27: Ativo Imobilizado</w:t>
      </w:r>
      <w:r>
        <w:t>. Brasília, DF: 2009. Disponível em: https://s3.sa-east-1.amazonaws.com/static.cpc.aatb.com.br/Documentos/316_CPC_27_rev%2022.pdf. Acesso em: 09 mar. 2026.</w:t>
      </w:r>
    </w:p>
    <w:p w14:paraId="373B97CA" w14:textId="77777777" w:rsidR="00643609" w:rsidRDefault="000651AA">
      <w:pPr>
        <w:spacing w:after="240" w:line="240" w:lineRule="auto"/>
      </w:pPr>
      <w:r>
        <w:t>CONSELHO FEDERAL DE CONTABILIDADE (CFC).</w:t>
      </w:r>
      <w:r>
        <w:rPr>
          <w:b/>
        </w:rPr>
        <w:t xml:space="preserve"> Norma Brasileiras </w:t>
      </w:r>
      <w:r>
        <w:rPr>
          <w:b/>
        </w:rPr>
        <w:t>de Contabilidade NBC TDS 01 - Requisitos Gerais para Divulgação Financeiras de Informações Relacionadas Sustentabilidade</w:t>
      </w:r>
      <w:r>
        <w:t>. Brasília, DF: CFC, 2024. Disponível em: https://www1.cfc.org.br/sisweb/SRE/docs/NBCTDS_01.pdf. Acesso em: 09 mar. 2026.</w:t>
      </w:r>
    </w:p>
    <w:p w14:paraId="043ADF54" w14:textId="77777777" w:rsidR="00643609" w:rsidRDefault="000651AA">
      <w:pPr>
        <w:spacing w:after="240" w:line="240" w:lineRule="auto"/>
      </w:pPr>
      <w:r>
        <w:t>CONSELHO FEDER</w:t>
      </w:r>
      <w:r>
        <w:t>AL DE CONTABILIDADE (CFC).</w:t>
      </w:r>
      <w:r>
        <w:rPr>
          <w:b/>
        </w:rPr>
        <w:t xml:space="preserve"> Norma Brasileiras de Contabilidade NBC TDS 02 - Divulgações Relacionadas ao Clima</w:t>
      </w:r>
      <w:r>
        <w:t>. Brasília, DF: CFC, 2024. Disponível em: https://www1.cfc.org.br/sisweb/SRE/docs/NBCTDS_02.pdf. Acesso em: 15 fev. 2026.</w:t>
      </w:r>
    </w:p>
    <w:p w14:paraId="61963CCE" w14:textId="77777777" w:rsidR="00643609" w:rsidRDefault="000651AA">
      <w:pPr>
        <w:spacing w:after="240" w:line="240" w:lineRule="auto"/>
      </w:pPr>
      <w:r>
        <w:t>CONSELHO FEDERAL DE CONTAB</w:t>
      </w:r>
      <w:r>
        <w:t>ILIDADE (CFC).</w:t>
      </w:r>
      <w:r>
        <w:rPr>
          <w:b/>
        </w:rPr>
        <w:t xml:space="preserve"> Resolução CFC nº 1.710, de 25 de outubro de 2023</w:t>
      </w:r>
      <w:r>
        <w:t xml:space="preserve">. Dispõe sobre a adoção das Normas Brasileiras de preparação e asseguração de Relatórios de Sustentabilidade. Brasília: CFC, 2023. Disponível em: https://share.google/8fh8evGutkSGWcYjl. Acesso </w:t>
      </w:r>
      <w:r>
        <w:t>em: 15 fev. 2026.</w:t>
      </w:r>
    </w:p>
    <w:p w14:paraId="5BA799E1" w14:textId="77777777" w:rsidR="00643609" w:rsidRDefault="000651AA">
      <w:pPr>
        <w:spacing w:after="240" w:line="240" w:lineRule="auto"/>
      </w:pPr>
      <w:r>
        <w:t>FIGUEREDO, W. RESPONSABILIDADE SOCIOAMBIENTAL CORPORATIVA: UMA ANÁLISE RETÓRICA DAS EMPRESAS DO SETOR DE PETROQUÍMICA. In: 19º</w:t>
      </w:r>
      <w:r>
        <w:rPr>
          <w:b/>
        </w:rPr>
        <w:t xml:space="preserve"> Congresso USP de Iniciação Científica em Contabilidade</w:t>
      </w:r>
      <w:r>
        <w:t>, 2022, São Paulo. Disponível em: https://congressousp.fi</w:t>
      </w:r>
      <w:r>
        <w:t>pecafi.org/Congresso/Anais Acesso em: 25 jan. 2026.</w:t>
      </w:r>
    </w:p>
    <w:p w14:paraId="47C72DEC" w14:textId="77777777" w:rsidR="00643609" w:rsidRDefault="000651AA">
      <w:pPr>
        <w:spacing w:after="240" w:line="240" w:lineRule="auto"/>
      </w:pPr>
      <w:r>
        <w:t>KOHLS-SANTOS, P.; MOROSINI, M. C. O Revisitar da Metodologia do Estado do Conhecimento: Para além de uma Revisão Bibliográfica.</w:t>
      </w:r>
      <w:r>
        <w:rPr>
          <w:b/>
        </w:rPr>
        <w:t xml:space="preserve"> Revista Panorâmica online</w:t>
      </w:r>
      <w:r>
        <w:t>, v. 33, 123-145, 2021. Disponível em: https://peri</w:t>
      </w:r>
      <w:r>
        <w:t>odicoscientificos.ufmt.br/revistapanoramica/index.php/revistapanoramica/article/view/1318. Acesso em: 29 jan. 2026.</w:t>
      </w:r>
    </w:p>
    <w:p w14:paraId="3F3980C4" w14:textId="77777777" w:rsidR="00643609" w:rsidRDefault="000651AA">
      <w:pPr>
        <w:spacing w:after="240" w:line="240" w:lineRule="auto"/>
      </w:pPr>
      <w:r>
        <w:t>LIMA, H. C. O que o Passado nos Ensina? Retrospectiva das Publicações Acerca da Produção Científica da 7ª A 20ª Edição do Congresso USP de C</w:t>
      </w:r>
      <w:r>
        <w:t>ontroladoria e Contabilidade.</w:t>
      </w:r>
      <w:r>
        <w:rPr>
          <w:b/>
        </w:rPr>
        <w:t xml:space="preserve"> Revista Controladoria e Gestão</w:t>
      </w:r>
      <w:r>
        <w:t>, v. 4, n. 1, p. 828-846, 2022. Disponível em: https://share.google/u0F2Hvbmh1MWIhEWd. Acesso em: 08 fev. 2026.</w:t>
      </w:r>
    </w:p>
    <w:p w14:paraId="1C0DA45D" w14:textId="77777777" w:rsidR="00643609" w:rsidRDefault="000651AA">
      <w:pPr>
        <w:spacing w:after="240" w:line="240" w:lineRule="auto"/>
      </w:pPr>
      <w:r>
        <w:lastRenderedPageBreak/>
        <w:t>MACULAN, B.C.M.; AGANETTE, E.C.; MARQUES, F.B.; MARQUES, Y.B. Contribuições do ChatG</w:t>
      </w:r>
      <w:r>
        <w:t>PT na revisão sistemática de literatura: um estudo de caso.</w:t>
      </w:r>
      <w:r>
        <w:rPr>
          <w:b/>
        </w:rPr>
        <w:t xml:space="preserve"> Cuadernos de Educación y Desarollo</w:t>
      </w:r>
      <w:r>
        <w:t>, v.15, n.10, 11773–11797, 2023. Disponível em: https://doi.org/10.55905/cuadv15n10-095. Acesso em: 02 mar. 2026.</w:t>
      </w:r>
    </w:p>
    <w:p w14:paraId="5267505C" w14:textId="77777777" w:rsidR="00643609" w:rsidRDefault="000651AA">
      <w:pPr>
        <w:spacing w:after="240" w:line="240" w:lineRule="auto"/>
      </w:pPr>
      <w:r>
        <w:t>MUELLER, S. P. M. A comunicação científica e o m</w:t>
      </w:r>
      <w:r>
        <w:t>ovimento de acesso livre ao conhecimento.</w:t>
      </w:r>
      <w:r>
        <w:rPr>
          <w:b/>
        </w:rPr>
        <w:t xml:space="preserve"> Ciência da Informação</w:t>
      </w:r>
      <w:r>
        <w:t>, Brasília, v. 35, n. 2, p. 27-38, 2006. Disponível em: https://share.google/zNxQsno2g9zIUVbiD. Acesso em: 25 jan. 2026.</w:t>
      </w:r>
    </w:p>
    <w:p w14:paraId="6082CBB0" w14:textId="77777777" w:rsidR="00643609" w:rsidRDefault="000651AA">
      <w:pPr>
        <w:spacing w:after="240" w:line="240" w:lineRule="auto"/>
      </w:pPr>
      <w:r>
        <w:t>NG, J.; KASSAI, J. R. Brasil e China: trade-off econômico e sustentável.</w:t>
      </w:r>
      <w:r>
        <w:t xml:space="preserve"> In:</w:t>
      </w:r>
      <w:r>
        <w:rPr>
          <w:i/>
        </w:rPr>
        <w:t xml:space="preserve"> 21º</w:t>
      </w:r>
      <w:r>
        <w:rPr>
          <w:b/>
        </w:rPr>
        <w:t xml:space="preserve"> Congresso USP de Iniciação Científica em Contabilidade</w:t>
      </w:r>
      <w:r>
        <w:t>, 2024, São Paulo. https://congressousp.fipecafi.org/Congresso/Anais. Acesso em: 08 fev. 2026.</w:t>
      </w:r>
    </w:p>
    <w:p w14:paraId="14CCF8DB" w14:textId="77777777" w:rsidR="00643609" w:rsidRDefault="000651AA">
      <w:pPr>
        <w:spacing w:after="240" w:line="240" w:lineRule="auto"/>
      </w:pPr>
      <w:r>
        <w:t>PAULA, A. C. P.; WALTRICK, M. S.; PEDROSO, S. M. Sustentabilidade Organizacional: desafios dos ges</w:t>
      </w:r>
      <w:r>
        <w:t>tores frente às questões ambientais.</w:t>
      </w:r>
      <w:r>
        <w:rPr>
          <w:b/>
        </w:rPr>
        <w:t xml:space="preserve"> Editora Poisson: Sustentabilidade e Responsabilidade Social</w:t>
      </w:r>
      <w:r>
        <w:t>, Belo Horizonte, v. 3, p. 6-15, 2017</w:t>
      </w:r>
    </w:p>
    <w:p w14:paraId="16739BD7" w14:textId="77777777" w:rsidR="00643609" w:rsidRDefault="000651AA">
      <w:pPr>
        <w:spacing w:after="240" w:line="240" w:lineRule="auto"/>
      </w:pPr>
      <w:r>
        <w:t>PICALHO, A.C.; OLIVEIRA, G.R.; CATIVELLI, A.S. Inteligência artificial no levantamento bibliográfico em bases de dados cie</w:t>
      </w:r>
      <w:r>
        <w:t>ntíficos: comparando expressões de busca no ChatGPT, Copilot e Gemini.</w:t>
      </w:r>
      <w:r>
        <w:rPr>
          <w:b/>
        </w:rPr>
        <w:t xml:space="preserve"> RDBCI: Revista Digital de Biblioteconomia e Ciência da Informação</w:t>
      </w:r>
      <w:r>
        <w:t>, v. 23, 1-20, 2025. Disponível em: https://periodicos.sbu.unicamp.br/ojs/index.php/rdbci/article/view/8678378. Acesso e</w:t>
      </w:r>
      <w:r>
        <w:t>m: 02 mar. 2026.</w:t>
      </w:r>
    </w:p>
    <w:p w14:paraId="6C2E3602" w14:textId="77777777" w:rsidR="00643609" w:rsidRDefault="000651AA">
      <w:pPr>
        <w:spacing w:after="240" w:line="240" w:lineRule="auto"/>
      </w:pPr>
      <w:r>
        <w:t>ROSA, B. B.; ZARO, E. S. Relação da Intensidade de Carbono e o Custo de Capital das Empresas Brasileira</w:t>
      </w:r>
      <w:r>
        <w:rPr>
          <w:b/>
        </w:rPr>
        <w:t>s</w:t>
      </w:r>
      <w:r>
        <w:t>. In:</w:t>
      </w:r>
      <w:r>
        <w:rPr>
          <w:b/>
          <w:i/>
        </w:rPr>
        <w:t xml:space="preserve"> 22º</w:t>
      </w:r>
      <w:r>
        <w:rPr>
          <w:b/>
        </w:rPr>
        <w:t xml:space="preserve"> Congresso USP de Iniciação Científica em Contabilidade</w:t>
      </w:r>
      <w:r>
        <w:t>, 2025, São Paulo. Disponível em: https://congressousp.fipecafi.org/Con</w:t>
      </w:r>
      <w:r>
        <w:t>gresso/Anais Acesso em: 08 fev. 2026.</w:t>
      </w:r>
    </w:p>
    <w:p w14:paraId="43DADFB1" w14:textId="77777777" w:rsidR="00643609" w:rsidRDefault="000651AA">
      <w:pPr>
        <w:spacing w:after="240" w:line="240" w:lineRule="auto"/>
      </w:pPr>
      <w:r>
        <w:t>SANTANA, K. R. M.; ZARO, E. S. Relato Integrado, Performance de Sustentabilidade e Qualidade dos Lucros: Há Mudanças no Processo Decisório?. In:</w:t>
      </w:r>
      <w:r>
        <w:rPr>
          <w:b/>
        </w:rPr>
        <w:t xml:space="preserve"> 19º Congresso USP de Iniciação Científica em Contabilidade</w:t>
      </w:r>
      <w:r>
        <w:t>, 2022, São Pau</w:t>
      </w:r>
      <w:r>
        <w:t>lo. Disponível em:</w:t>
      </w:r>
      <w:r>
        <w:rPr>
          <w:b/>
        </w:rPr>
        <w:t xml:space="preserve"> https://congressousp.fipecafi.org/anais/22UspInternational/ArtigosDownload/3800.pdf</w:t>
      </w:r>
      <w:r>
        <w:t>. Acesso em: 08 fev. 2026.</w:t>
      </w:r>
    </w:p>
    <w:p w14:paraId="3EC4519B" w14:textId="77777777" w:rsidR="00643609" w:rsidRDefault="000651AA">
      <w:pPr>
        <w:spacing w:after="240" w:line="240" w:lineRule="auto"/>
      </w:pPr>
      <w:r>
        <w:t>SANTOS, T. F.; CORREA, J. R. L.; RUBIO, A. C.; SILVA, M. A.; MOURA, A. C. R. Implementação em Estratégias Sustentáveis na Gestã</w:t>
      </w:r>
      <w:r>
        <w:t>o Pública de Nova Mutum-mt. In:</w:t>
      </w:r>
      <w:r>
        <w:rPr>
          <w:i/>
        </w:rPr>
        <w:t xml:space="preserve"> 22º</w:t>
      </w:r>
      <w:r>
        <w:rPr>
          <w:b/>
        </w:rPr>
        <w:t xml:space="preserve"> Congresso USP de Iniciação Científica em Contabilidade</w:t>
      </w:r>
      <w:r>
        <w:t>, 2025, São Paulo. Disponível em: https://congressousp.fipecafi.org/Congresso/Anais. Acesso em: 15 fev. 2026.</w:t>
      </w:r>
    </w:p>
    <w:p w14:paraId="0C7B8C04" w14:textId="77777777" w:rsidR="00643609" w:rsidRDefault="000651AA">
      <w:pPr>
        <w:spacing w:after="240" w:line="240" w:lineRule="auto"/>
      </w:pPr>
      <w:r>
        <w:t xml:space="preserve">SILVA, T. M. S.; AZEVEDO, T. C. A divulgação dos </w:t>
      </w:r>
      <w:r>
        <w:t>créditos de carbono nos relatórios de sustentabilidade do setor energético brasileiro: Um estudo comparado em empresas das regiões Sudeste e Nordeste. In:</w:t>
      </w:r>
      <w:r>
        <w:rPr>
          <w:b/>
        </w:rPr>
        <w:t xml:space="preserve"> 19º Congresso USP de Iniciação Científica em Contabilidade</w:t>
      </w:r>
      <w:r>
        <w:t>, 2022, São Paulo. Disponível em: https://c</w:t>
      </w:r>
      <w:r>
        <w:t>ongressousp.fipecafi.org/Congresso/Anais. Acesso em: 15 fev. 2026.</w:t>
      </w:r>
    </w:p>
    <w:p w14:paraId="7AB72DB9" w14:textId="77777777" w:rsidR="00643609" w:rsidRDefault="000651AA">
      <w:pPr>
        <w:spacing w:after="240" w:line="240" w:lineRule="auto"/>
      </w:pPr>
      <w:r>
        <w:t>SOUZA, G. R. A.; MORGAN, B. F.; SOUZA, L. M. Política ESG nas Companhias Abertas Brasileiras. In:</w:t>
      </w:r>
      <w:r>
        <w:rPr>
          <w:i/>
        </w:rPr>
        <w:t xml:space="preserve"> 22º</w:t>
      </w:r>
      <w:r>
        <w:rPr>
          <w:b/>
        </w:rPr>
        <w:t xml:space="preserve"> Congresso USP de Iniciação Científica em </w:t>
      </w:r>
      <w:r>
        <w:rPr>
          <w:b/>
        </w:rPr>
        <w:lastRenderedPageBreak/>
        <w:t>Contabilidade</w:t>
      </w:r>
      <w:r>
        <w:t>, 2025, São Paulo. Disponível em:</w:t>
      </w:r>
      <w:r>
        <w:t xml:space="preserve"> https://congressousp.fipecafi.org/Congresso/Anais. Acesso em: 08 fev. 2026.</w:t>
      </w:r>
    </w:p>
    <w:p w14:paraId="6061FBDB" w14:textId="77777777" w:rsidR="00643609" w:rsidRDefault="000651AA">
      <w:pPr>
        <w:spacing w:after="240" w:line="240" w:lineRule="auto"/>
      </w:pPr>
      <w:r>
        <w:t>UNIVERSIDADE DE SÃO PAULO (USP).</w:t>
      </w:r>
      <w:r>
        <w:rPr>
          <w:b/>
        </w:rPr>
        <w:t xml:space="preserve"> Congresso USP de Iniciação Científica em Contabilidade</w:t>
      </w:r>
      <w:r>
        <w:t>. Anais. São Paulo: FEA/USP, 2024. Disponível em: https://congressousp.fipecafi.org/Congress</w:t>
      </w:r>
      <w:r>
        <w:t>o/Anais. Acesso em: 22 jan. 2026.</w:t>
      </w:r>
      <w:bookmarkStart w:id="11" w:name="art6_fim"/>
      <w:bookmarkEnd w:id="11"/>
    </w:p>
    <w:sectPr w:rsidR="00643609" w:rsidSect="00034616">
      <w:headerReference w:type="default" r:id="rId40"/>
      <w:footerReference w:type="default" r:id="rId41"/>
      <w:footnotePr>
        <w:numRestart w:val="eachSect"/>
      </w:footnotePr>
      <w:pgSz w:w="11906" w:h="16838"/>
      <w:pgMar w:top="1701" w:right="1134" w:bottom="1134" w:left="1701" w:header="709"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33149" w14:textId="77777777" w:rsidR="00000000" w:rsidRDefault="000651AA">
      <w:pPr>
        <w:spacing w:after="0" w:line="240" w:lineRule="auto"/>
      </w:pPr>
      <w:r>
        <w:separator/>
      </w:r>
    </w:p>
  </w:endnote>
  <w:endnote w:type="continuationSeparator" w:id="0">
    <w:p w14:paraId="2FF2A8CA" w14:textId="77777777" w:rsidR="00000000" w:rsidRDefault="000651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F31DA" w14:textId="7C65DECC" w:rsidR="00643609" w:rsidRDefault="000651AA">
    <w:pPr>
      <w:pStyle w:val="Rodap"/>
      <w:tabs>
        <w:tab w:val="right" w:pos="9065"/>
      </w:tabs>
    </w:pPr>
    <w:r>
      <w:rPr>
        <w:color w:val="333333"/>
        <w:sz w:val="16"/>
      </w:rPr>
      <w:t xml:space="preserve">Revista Eletrônica de Ciências Contábeis, v. 16, n. 1, p. </w:t>
    </w:r>
    <w:r>
      <w:rPr>
        <w:color w:val="333333"/>
        <w:sz w:val="16"/>
      </w:rPr>
      <w:fldChar w:fldCharType="begin"/>
    </w:r>
    <w:r>
      <w:rPr>
        <w:color w:val="333333"/>
        <w:sz w:val="16"/>
      </w:rPr>
      <w:instrText xml:space="preserve"> PAGEREF art1_ini \h </w:instrText>
    </w:r>
    <w:r>
      <w:rPr>
        <w:color w:val="333333"/>
        <w:sz w:val="16"/>
      </w:rPr>
    </w:r>
    <w:r>
      <w:rPr>
        <w:color w:val="333333"/>
        <w:sz w:val="16"/>
      </w:rPr>
      <w:fldChar w:fldCharType="separate"/>
    </w:r>
    <w:r>
      <w:rPr>
        <w:noProof/>
        <w:color w:val="333333"/>
        <w:sz w:val="16"/>
      </w:rPr>
      <w:t>1</w:t>
    </w:r>
    <w:r>
      <w:rPr>
        <w:color w:val="333333"/>
        <w:sz w:val="16"/>
      </w:rPr>
      <w:fldChar w:fldCharType="end"/>
    </w:r>
    <w:r>
      <w:rPr>
        <w:color w:val="333333"/>
        <w:sz w:val="16"/>
      </w:rPr>
      <w:t>-</w:t>
    </w:r>
    <w:r>
      <w:rPr>
        <w:color w:val="333333"/>
        <w:sz w:val="16"/>
      </w:rPr>
      <w:fldChar w:fldCharType="begin"/>
    </w:r>
    <w:r>
      <w:rPr>
        <w:color w:val="333333"/>
        <w:sz w:val="16"/>
      </w:rPr>
      <w:instrText xml:space="preserve"> PAGEREF art1_fim \h </w:instrText>
    </w:r>
    <w:r>
      <w:rPr>
        <w:color w:val="333333"/>
        <w:sz w:val="16"/>
      </w:rPr>
    </w:r>
    <w:r>
      <w:rPr>
        <w:color w:val="333333"/>
        <w:sz w:val="16"/>
      </w:rPr>
      <w:fldChar w:fldCharType="separate"/>
    </w:r>
    <w:r>
      <w:rPr>
        <w:noProof/>
        <w:color w:val="333333"/>
        <w:sz w:val="16"/>
      </w:rPr>
      <w:t>22</w:t>
    </w:r>
    <w:r>
      <w:rPr>
        <w:color w:val="333333"/>
        <w:sz w:val="16"/>
      </w:rPr>
      <w:fldChar w:fldCharType="end"/>
    </w:r>
    <w:r>
      <w:rPr>
        <w:color w:val="333333"/>
        <w:sz w:val="16"/>
      </w:rPr>
      <w:t>, 2026.</w:t>
    </w:r>
    <w:r>
      <w:rPr>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062A5" w14:textId="05ABC1A2" w:rsidR="00643609" w:rsidRDefault="000651AA">
    <w:pPr>
      <w:pStyle w:val="Rodap"/>
      <w:tabs>
        <w:tab w:val="right" w:pos="9065"/>
      </w:tabs>
    </w:pPr>
    <w:r>
      <w:rPr>
        <w:color w:val="333333"/>
        <w:sz w:val="16"/>
      </w:rPr>
      <w:t>Revista Eletrônica de</w:t>
    </w:r>
    <w:r>
      <w:rPr>
        <w:color w:val="333333"/>
        <w:sz w:val="16"/>
      </w:rPr>
      <w:t xml:space="preserve"> Ciências Contábeis, v. 16, n. 1, p. </w:t>
    </w:r>
    <w:r>
      <w:rPr>
        <w:color w:val="333333"/>
        <w:sz w:val="16"/>
      </w:rPr>
      <w:fldChar w:fldCharType="begin"/>
    </w:r>
    <w:r>
      <w:rPr>
        <w:color w:val="333333"/>
        <w:sz w:val="16"/>
      </w:rPr>
      <w:instrText xml:space="preserve"> PAGEREF art2_ini \h </w:instrText>
    </w:r>
    <w:r>
      <w:rPr>
        <w:color w:val="333333"/>
        <w:sz w:val="16"/>
      </w:rPr>
    </w:r>
    <w:r>
      <w:rPr>
        <w:color w:val="333333"/>
        <w:sz w:val="16"/>
      </w:rPr>
      <w:fldChar w:fldCharType="separate"/>
    </w:r>
    <w:r>
      <w:rPr>
        <w:noProof/>
        <w:color w:val="333333"/>
        <w:sz w:val="16"/>
      </w:rPr>
      <w:t>23</w:t>
    </w:r>
    <w:r>
      <w:rPr>
        <w:color w:val="333333"/>
        <w:sz w:val="16"/>
      </w:rPr>
      <w:fldChar w:fldCharType="end"/>
    </w:r>
    <w:r>
      <w:rPr>
        <w:color w:val="333333"/>
        <w:sz w:val="16"/>
      </w:rPr>
      <w:t>-</w:t>
    </w:r>
    <w:r>
      <w:rPr>
        <w:color w:val="333333"/>
        <w:sz w:val="16"/>
      </w:rPr>
      <w:fldChar w:fldCharType="begin"/>
    </w:r>
    <w:r>
      <w:rPr>
        <w:color w:val="333333"/>
        <w:sz w:val="16"/>
      </w:rPr>
      <w:instrText xml:space="preserve"> PAGEREF art2_fim \h </w:instrText>
    </w:r>
    <w:r>
      <w:rPr>
        <w:color w:val="333333"/>
        <w:sz w:val="16"/>
      </w:rPr>
    </w:r>
    <w:r>
      <w:rPr>
        <w:color w:val="333333"/>
        <w:sz w:val="16"/>
      </w:rPr>
      <w:fldChar w:fldCharType="separate"/>
    </w:r>
    <w:r>
      <w:rPr>
        <w:noProof/>
        <w:color w:val="333333"/>
        <w:sz w:val="16"/>
      </w:rPr>
      <w:t>50</w:t>
    </w:r>
    <w:r>
      <w:rPr>
        <w:color w:val="333333"/>
        <w:sz w:val="16"/>
      </w:rPr>
      <w:fldChar w:fldCharType="end"/>
    </w:r>
    <w:r>
      <w:rPr>
        <w:color w:val="333333"/>
        <w:sz w:val="16"/>
      </w:rPr>
      <w:t>, 2026.</w:t>
    </w:r>
    <w:r>
      <w:rPr>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7E54D" w14:textId="7C38355E" w:rsidR="00643609" w:rsidRDefault="000651AA">
    <w:pPr>
      <w:pStyle w:val="Rodap"/>
      <w:tabs>
        <w:tab w:val="right" w:pos="9065"/>
      </w:tabs>
    </w:pPr>
    <w:r>
      <w:rPr>
        <w:color w:val="333333"/>
        <w:sz w:val="16"/>
      </w:rPr>
      <w:t xml:space="preserve">Revista Eletrônica de Ciências Contábeis, v. 16, n. </w:t>
    </w:r>
    <w:r>
      <w:rPr>
        <w:color w:val="333333"/>
        <w:sz w:val="16"/>
      </w:rPr>
      <w:t xml:space="preserve">1, p. </w:t>
    </w:r>
    <w:r>
      <w:rPr>
        <w:color w:val="333333"/>
        <w:sz w:val="16"/>
      </w:rPr>
      <w:fldChar w:fldCharType="begin"/>
    </w:r>
    <w:r>
      <w:rPr>
        <w:color w:val="333333"/>
        <w:sz w:val="16"/>
      </w:rPr>
      <w:instrText xml:space="preserve"> PAGEREF art3_ini \h </w:instrText>
    </w:r>
    <w:r>
      <w:rPr>
        <w:color w:val="333333"/>
        <w:sz w:val="16"/>
      </w:rPr>
    </w:r>
    <w:r>
      <w:rPr>
        <w:color w:val="333333"/>
        <w:sz w:val="16"/>
      </w:rPr>
      <w:fldChar w:fldCharType="separate"/>
    </w:r>
    <w:r>
      <w:rPr>
        <w:noProof/>
        <w:color w:val="333333"/>
        <w:sz w:val="16"/>
      </w:rPr>
      <w:t>50</w:t>
    </w:r>
    <w:r>
      <w:rPr>
        <w:color w:val="333333"/>
        <w:sz w:val="16"/>
      </w:rPr>
      <w:fldChar w:fldCharType="end"/>
    </w:r>
    <w:r>
      <w:rPr>
        <w:color w:val="333333"/>
        <w:sz w:val="16"/>
      </w:rPr>
      <w:t>-</w:t>
    </w:r>
    <w:r>
      <w:rPr>
        <w:color w:val="333333"/>
        <w:sz w:val="16"/>
      </w:rPr>
      <w:fldChar w:fldCharType="begin"/>
    </w:r>
    <w:r>
      <w:rPr>
        <w:color w:val="333333"/>
        <w:sz w:val="16"/>
      </w:rPr>
      <w:instrText xml:space="preserve"> PAGEREF art3_fim \h </w:instrText>
    </w:r>
    <w:r>
      <w:rPr>
        <w:color w:val="333333"/>
        <w:sz w:val="16"/>
      </w:rPr>
    </w:r>
    <w:r>
      <w:rPr>
        <w:color w:val="333333"/>
        <w:sz w:val="16"/>
      </w:rPr>
      <w:fldChar w:fldCharType="separate"/>
    </w:r>
    <w:r>
      <w:rPr>
        <w:noProof/>
        <w:color w:val="333333"/>
        <w:sz w:val="16"/>
      </w:rPr>
      <w:t>71</w:t>
    </w:r>
    <w:r>
      <w:rPr>
        <w:color w:val="333333"/>
        <w:sz w:val="16"/>
      </w:rPr>
      <w:fldChar w:fldCharType="end"/>
    </w:r>
    <w:r>
      <w:rPr>
        <w:color w:val="333333"/>
        <w:sz w:val="16"/>
      </w:rPr>
      <w:t>, 2026.</w:t>
    </w:r>
    <w:r>
      <w:rPr>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C6945" w14:textId="17F208CD" w:rsidR="00643609" w:rsidRDefault="000651AA">
    <w:pPr>
      <w:pStyle w:val="Rodap"/>
      <w:tabs>
        <w:tab w:val="right" w:pos="9065"/>
      </w:tabs>
    </w:pPr>
    <w:r>
      <w:rPr>
        <w:color w:val="333333"/>
        <w:sz w:val="16"/>
      </w:rPr>
      <w:t xml:space="preserve">Revista Eletrônica de Ciências Contábeis, v. 16, n. 1, p. </w:t>
    </w:r>
    <w:r>
      <w:rPr>
        <w:color w:val="333333"/>
        <w:sz w:val="16"/>
      </w:rPr>
      <w:fldChar w:fldCharType="begin"/>
    </w:r>
    <w:r>
      <w:rPr>
        <w:color w:val="333333"/>
        <w:sz w:val="16"/>
      </w:rPr>
      <w:instrText xml:space="preserve"> PAGEREF art4_ini \h </w:instrText>
    </w:r>
    <w:r>
      <w:rPr>
        <w:color w:val="333333"/>
        <w:sz w:val="16"/>
      </w:rPr>
    </w:r>
    <w:r>
      <w:rPr>
        <w:color w:val="333333"/>
        <w:sz w:val="16"/>
      </w:rPr>
      <w:fldChar w:fldCharType="separate"/>
    </w:r>
    <w:r>
      <w:rPr>
        <w:noProof/>
        <w:color w:val="333333"/>
        <w:sz w:val="16"/>
      </w:rPr>
      <w:t>72</w:t>
    </w:r>
    <w:r>
      <w:rPr>
        <w:color w:val="333333"/>
        <w:sz w:val="16"/>
      </w:rPr>
      <w:fldChar w:fldCharType="end"/>
    </w:r>
    <w:r>
      <w:rPr>
        <w:color w:val="333333"/>
        <w:sz w:val="16"/>
      </w:rPr>
      <w:t>-</w:t>
    </w:r>
    <w:r>
      <w:rPr>
        <w:color w:val="333333"/>
        <w:sz w:val="16"/>
      </w:rPr>
      <w:fldChar w:fldCharType="begin"/>
    </w:r>
    <w:r>
      <w:rPr>
        <w:color w:val="333333"/>
        <w:sz w:val="16"/>
      </w:rPr>
      <w:instrText xml:space="preserve"> PAGEREF art4_fim \h </w:instrText>
    </w:r>
    <w:r>
      <w:rPr>
        <w:color w:val="333333"/>
        <w:sz w:val="16"/>
      </w:rPr>
    </w:r>
    <w:r>
      <w:rPr>
        <w:color w:val="333333"/>
        <w:sz w:val="16"/>
      </w:rPr>
      <w:fldChar w:fldCharType="separate"/>
    </w:r>
    <w:r>
      <w:rPr>
        <w:noProof/>
        <w:color w:val="333333"/>
        <w:sz w:val="16"/>
      </w:rPr>
      <w:t>94</w:t>
    </w:r>
    <w:r>
      <w:rPr>
        <w:color w:val="333333"/>
        <w:sz w:val="16"/>
      </w:rPr>
      <w:fldChar w:fldCharType="end"/>
    </w:r>
    <w:r>
      <w:rPr>
        <w:color w:val="333333"/>
        <w:sz w:val="16"/>
      </w:rPr>
      <w:t>, 2026.</w:t>
    </w:r>
    <w:r>
      <w:rPr>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4B4B2" w14:textId="345D8381" w:rsidR="00643609" w:rsidRDefault="000651AA">
    <w:pPr>
      <w:pStyle w:val="Rodap"/>
      <w:tabs>
        <w:tab w:val="right" w:pos="9065"/>
      </w:tabs>
    </w:pPr>
    <w:r>
      <w:rPr>
        <w:color w:val="333333"/>
        <w:sz w:val="16"/>
      </w:rPr>
      <w:t xml:space="preserve">Revista Eletrônica de Ciências Contábeis, v. 16, n. 1, p. </w:t>
    </w:r>
    <w:r>
      <w:rPr>
        <w:color w:val="333333"/>
        <w:sz w:val="16"/>
      </w:rPr>
      <w:fldChar w:fldCharType="begin"/>
    </w:r>
    <w:r>
      <w:rPr>
        <w:color w:val="333333"/>
        <w:sz w:val="16"/>
      </w:rPr>
      <w:instrText xml:space="preserve"> PAGEREF art5_ini \h </w:instrText>
    </w:r>
    <w:r>
      <w:rPr>
        <w:color w:val="333333"/>
        <w:sz w:val="16"/>
      </w:rPr>
    </w:r>
    <w:r>
      <w:rPr>
        <w:color w:val="333333"/>
        <w:sz w:val="16"/>
      </w:rPr>
      <w:fldChar w:fldCharType="separate"/>
    </w:r>
    <w:r>
      <w:rPr>
        <w:noProof/>
        <w:color w:val="333333"/>
        <w:sz w:val="16"/>
      </w:rPr>
      <w:t>95</w:t>
    </w:r>
    <w:r>
      <w:rPr>
        <w:color w:val="333333"/>
        <w:sz w:val="16"/>
      </w:rPr>
      <w:fldChar w:fldCharType="end"/>
    </w:r>
    <w:r>
      <w:rPr>
        <w:color w:val="333333"/>
        <w:sz w:val="16"/>
      </w:rPr>
      <w:t>-</w:t>
    </w:r>
    <w:r>
      <w:rPr>
        <w:color w:val="333333"/>
        <w:sz w:val="16"/>
      </w:rPr>
      <w:fldChar w:fldCharType="begin"/>
    </w:r>
    <w:r>
      <w:rPr>
        <w:color w:val="333333"/>
        <w:sz w:val="16"/>
      </w:rPr>
      <w:instrText xml:space="preserve"> PAGEREF art5_fim \h </w:instrText>
    </w:r>
    <w:r>
      <w:rPr>
        <w:color w:val="333333"/>
        <w:sz w:val="16"/>
      </w:rPr>
    </w:r>
    <w:r>
      <w:rPr>
        <w:color w:val="333333"/>
        <w:sz w:val="16"/>
      </w:rPr>
      <w:fldChar w:fldCharType="separate"/>
    </w:r>
    <w:r>
      <w:rPr>
        <w:noProof/>
        <w:color w:val="333333"/>
        <w:sz w:val="16"/>
      </w:rPr>
      <w:t>119</w:t>
    </w:r>
    <w:r>
      <w:rPr>
        <w:color w:val="333333"/>
        <w:sz w:val="16"/>
      </w:rPr>
      <w:fldChar w:fldCharType="end"/>
    </w:r>
    <w:r>
      <w:rPr>
        <w:color w:val="333333"/>
        <w:sz w:val="16"/>
      </w:rPr>
      <w:t>, 2026.</w:t>
    </w:r>
    <w:r>
      <w:rPr>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293EE" w14:textId="10FCD5F9" w:rsidR="00643609" w:rsidRDefault="000651AA">
    <w:pPr>
      <w:pStyle w:val="Rodap"/>
      <w:tabs>
        <w:tab w:val="right" w:pos="9065"/>
      </w:tabs>
    </w:pPr>
    <w:r>
      <w:rPr>
        <w:color w:val="333333"/>
        <w:sz w:val="16"/>
      </w:rPr>
      <w:t xml:space="preserve">Revista Eletrônica de Ciências Contábeis, v. 16, n. 1, p. </w:t>
    </w:r>
    <w:r>
      <w:rPr>
        <w:color w:val="333333"/>
        <w:sz w:val="16"/>
      </w:rPr>
      <w:fldChar w:fldCharType="begin"/>
    </w:r>
    <w:r>
      <w:rPr>
        <w:color w:val="333333"/>
        <w:sz w:val="16"/>
      </w:rPr>
      <w:instrText xml:space="preserve"> PAGEREF art6_ini \h </w:instrText>
    </w:r>
    <w:r>
      <w:rPr>
        <w:color w:val="333333"/>
        <w:sz w:val="16"/>
      </w:rPr>
    </w:r>
    <w:r>
      <w:rPr>
        <w:color w:val="333333"/>
        <w:sz w:val="16"/>
      </w:rPr>
      <w:fldChar w:fldCharType="separate"/>
    </w:r>
    <w:r>
      <w:rPr>
        <w:noProof/>
        <w:color w:val="333333"/>
        <w:sz w:val="16"/>
      </w:rPr>
      <w:t>120</w:t>
    </w:r>
    <w:r>
      <w:rPr>
        <w:color w:val="333333"/>
        <w:sz w:val="16"/>
      </w:rPr>
      <w:fldChar w:fldCharType="end"/>
    </w:r>
    <w:r>
      <w:rPr>
        <w:color w:val="333333"/>
        <w:sz w:val="16"/>
      </w:rPr>
      <w:t>-</w:t>
    </w:r>
    <w:r>
      <w:rPr>
        <w:color w:val="333333"/>
        <w:sz w:val="16"/>
      </w:rPr>
      <w:fldChar w:fldCharType="begin"/>
    </w:r>
    <w:r>
      <w:rPr>
        <w:color w:val="333333"/>
        <w:sz w:val="16"/>
      </w:rPr>
      <w:instrText xml:space="preserve"> PAGEREF art6_fim \h </w:instrText>
    </w:r>
    <w:r>
      <w:rPr>
        <w:color w:val="333333"/>
        <w:sz w:val="16"/>
      </w:rPr>
    </w:r>
    <w:r>
      <w:rPr>
        <w:color w:val="333333"/>
        <w:sz w:val="16"/>
      </w:rPr>
      <w:fldChar w:fldCharType="separate"/>
    </w:r>
    <w:r>
      <w:rPr>
        <w:noProof/>
        <w:color w:val="333333"/>
        <w:sz w:val="16"/>
      </w:rPr>
      <w:t>136</w:t>
    </w:r>
    <w:r>
      <w:rPr>
        <w:color w:val="333333"/>
        <w:sz w:val="16"/>
      </w:rPr>
      <w:fldChar w:fldCharType="end"/>
    </w:r>
    <w:r>
      <w:rPr>
        <w:color w:val="333333"/>
        <w:sz w:val="16"/>
      </w:rPr>
      <w:t>, 2026.</w:t>
    </w:r>
    <w:r>
      <w:rPr>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E67EFC" w14:textId="77777777" w:rsidR="00000000" w:rsidRDefault="000651AA">
      <w:pPr>
        <w:spacing w:after="0" w:line="240" w:lineRule="auto"/>
      </w:pPr>
      <w:r>
        <w:separator/>
      </w:r>
    </w:p>
  </w:footnote>
  <w:footnote w:type="continuationSeparator" w:id="0">
    <w:p w14:paraId="570C8B2B" w14:textId="77777777" w:rsidR="00000000" w:rsidRDefault="000651AA">
      <w:pPr>
        <w:spacing w:after="0" w:line="240" w:lineRule="auto"/>
      </w:pPr>
      <w:r>
        <w:continuationSeparator/>
      </w:r>
    </w:p>
  </w:footnote>
  <w:footnote w:id="1">
    <w:p w14:paraId="78914026" w14:textId="77777777" w:rsidR="00643609" w:rsidRDefault="000651AA">
      <w:pPr>
        <w:spacing w:after="0" w:line="240" w:lineRule="auto"/>
      </w:pPr>
      <w:r>
        <w:rPr>
          <w:sz w:val="20"/>
          <w:vertAlign w:val="superscript"/>
        </w:rPr>
        <w:footnoteRef/>
      </w:r>
      <w:r>
        <w:rPr>
          <w:sz w:val="20"/>
        </w:rPr>
        <w:t xml:space="preserve"> Mestre em Ciências Contábeis pela Universidade Estadual de Maringá. Profª da Universidad</w:t>
      </w:r>
      <w:r>
        <w:rPr>
          <w:sz w:val="20"/>
        </w:rPr>
        <w:t>e Estadual de Londrina - anajulia@uel.br</w:t>
      </w:r>
    </w:p>
  </w:footnote>
  <w:footnote w:id="2">
    <w:p w14:paraId="7756DE13" w14:textId="77777777" w:rsidR="00643609" w:rsidRDefault="000651AA">
      <w:pPr>
        <w:spacing w:after="0" w:line="240" w:lineRule="auto"/>
      </w:pPr>
      <w:r>
        <w:rPr>
          <w:sz w:val="20"/>
          <w:vertAlign w:val="superscript"/>
        </w:rPr>
        <w:footnoteRef/>
      </w:r>
      <w:r>
        <w:rPr>
          <w:sz w:val="20"/>
        </w:rPr>
        <w:t xml:space="preserve"> Mestre em Ciências Contábeis pela Universidade do Vale do Rio dos Sinos. Profª da Universidade Estadual de Londrina - natalialeme@uel.br</w:t>
      </w:r>
    </w:p>
  </w:footnote>
  <w:footnote w:id="3">
    <w:p w14:paraId="5A926ADF" w14:textId="77777777" w:rsidR="00643609" w:rsidRDefault="000651AA">
      <w:pPr>
        <w:spacing w:after="0" w:line="240" w:lineRule="auto"/>
      </w:pPr>
      <w:r>
        <w:rPr>
          <w:sz w:val="20"/>
          <w:vertAlign w:val="superscript"/>
        </w:rPr>
        <w:footnoteRef/>
      </w:r>
      <w:r>
        <w:rPr>
          <w:sz w:val="20"/>
        </w:rPr>
        <w:t xml:space="preserve"> Graduada em Ciências Contábeis pela Universidade Estadual de Londrina. - alessandra.soares@uel.br</w:t>
      </w:r>
    </w:p>
  </w:footnote>
  <w:footnote w:id="4">
    <w:p w14:paraId="3E1AE379" w14:textId="77777777" w:rsidR="00643609" w:rsidRDefault="000651AA">
      <w:pPr>
        <w:spacing w:after="0" w:line="240" w:lineRule="auto"/>
      </w:pPr>
      <w:r>
        <w:rPr>
          <w:sz w:val="20"/>
          <w:vertAlign w:val="superscript"/>
        </w:rPr>
        <w:footnoteRef/>
      </w:r>
      <w:r>
        <w:rPr>
          <w:sz w:val="20"/>
        </w:rPr>
        <w:t xml:space="preserve"> Graduada em Ciên</w:t>
      </w:r>
      <w:r>
        <w:rPr>
          <w:sz w:val="20"/>
        </w:rPr>
        <w:t>cias Contábeis pela Universidade Estadual de Londrina. -joseane.theodoro@uel.br</w:t>
      </w:r>
    </w:p>
  </w:footnote>
  <w:footnote w:id="5">
    <w:p w14:paraId="28957977" w14:textId="77777777" w:rsidR="00643609" w:rsidRDefault="000651AA">
      <w:pPr>
        <w:spacing w:after="0" w:line="240" w:lineRule="auto"/>
      </w:pPr>
      <w:r>
        <w:rPr>
          <w:sz w:val="20"/>
          <w:vertAlign w:val="superscript"/>
        </w:rPr>
        <w:footnoteRef/>
      </w:r>
      <w:r>
        <w:rPr>
          <w:sz w:val="20"/>
        </w:rPr>
        <w:t xml:space="preserve"> Graduada em Ciências Contábeis pela Universidade Estadual de Londrina. -keila.alice.roque@uel.br</w:t>
      </w:r>
    </w:p>
  </w:footnote>
  <w:footnote w:id="6">
    <w:p w14:paraId="0961A246" w14:textId="77777777" w:rsidR="00643609" w:rsidRDefault="000651AA">
      <w:pPr>
        <w:spacing w:after="0" w:line="240" w:lineRule="auto"/>
      </w:pPr>
      <w:r>
        <w:rPr>
          <w:sz w:val="20"/>
          <w:vertAlign w:val="superscript"/>
        </w:rPr>
        <w:footnoteRef/>
      </w:r>
      <w:r>
        <w:rPr>
          <w:sz w:val="20"/>
        </w:rPr>
        <w:t xml:space="preserve"> Graduada em Ciências Contábeis pela Universidade Federal de Juiz de Fora – </w:t>
      </w:r>
      <w:r>
        <w:rPr>
          <w:sz w:val="20"/>
        </w:rPr>
        <w:t>Minas Gerais. E- mail : almeidaferraz@hotmail.com.</w:t>
      </w:r>
    </w:p>
  </w:footnote>
  <w:footnote w:id="7">
    <w:p w14:paraId="019B1B52" w14:textId="77777777" w:rsidR="00643609" w:rsidRDefault="000651AA">
      <w:pPr>
        <w:spacing w:after="0" w:line="240" w:lineRule="auto"/>
      </w:pPr>
      <w:r>
        <w:rPr>
          <w:sz w:val="20"/>
          <w:vertAlign w:val="superscript"/>
        </w:rPr>
        <w:footnoteRef/>
      </w:r>
      <w:r>
        <w:rPr>
          <w:sz w:val="20"/>
        </w:rPr>
        <w:t xml:space="preserve"> Professor da Universidade Federal de Juiz de Fora – Minas Gerais. Doutor em Ciências Contábeis e Administração. E-mail : rodrigo.ferraz@ufjf.br.</w:t>
      </w:r>
    </w:p>
  </w:footnote>
  <w:footnote w:id="8">
    <w:p w14:paraId="3673BBA2" w14:textId="77777777" w:rsidR="00643609" w:rsidRDefault="000651AA">
      <w:pPr>
        <w:spacing w:after="0" w:line="240" w:lineRule="auto"/>
      </w:pPr>
      <w:r>
        <w:rPr>
          <w:sz w:val="20"/>
          <w:vertAlign w:val="superscript"/>
        </w:rPr>
        <w:footnoteRef/>
      </w:r>
      <w:r>
        <w:rPr>
          <w:sz w:val="20"/>
        </w:rPr>
        <w:t xml:space="preserve"> ICEAC – Curso de Administração, Universidade Federal do </w:t>
      </w:r>
      <w:r>
        <w:rPr>
          <w:sz w:val="20"/>
        </w:rPr>
        <w:t>Rio Grande – FURG-SAP/RS. E-mail: eduardansantoss@gmail.com</w:t>
      </w:r>
    </w:p>
  </w:footnote>
  <w:footnote w:id="9">
    <w:p w14:paraId="10F1FB17" w14:textId="77777777" w:rsidR="00643609" w:rsidRDefault="000651AA">
      <w:pPr>
        <w:spacing w:after="0" w:line="240" w:lineRule="auto"/>
      </w:pPr>
      <w:r>
        <w:rPr>
          <w:sz w:val="20"/>
          <w:vertAlign w:val="superscript"/>
        </w:rPr>
        <w:footnoteRef/>
      </w:r>
      <w:r>
        <w:rPr>
          <w:sz w:val="20"/>
        </w:rPr>
        <w:t xml:space="preserve"> Professor orientador Vanclei Zanin (FURG-SAP). E-mail: vancleizanin@furg.br</w:t>
      </w:r>
    </w:p>
  </w:footnote>
  <w:footnote w:id="10">
    <w:p w14:paraId="2E3A5A01" w14:textId="77777777" w:rsidR="00643609" w:rsidRDefault="000651AA">
      <w:pPr>
        <w:spacing w:after="0" w:line="240" w:lineRule="auto"/>
      </w:pPr>
      <w:r>
        <w:rPr>
          <w:sz w:val="20"/>
          <w:vertAlign w:val="superscript"/>
        </w:rPr>
        <w:footnoteRef/>
      </w:r>
      <w:r>
        <w:rPr>
          <w:sz w:val="20"/>
        </w:rPr>
        <w:t xml:space="preserve"> Professor colaborador Alex Leonardi (FURG-SAP). E-mail: alleo123@hotmail.com</w:t>
      </w:r>
    </w:p>
  </w:footnote>
  <w:footnote w:id="11">
    <w:p w14:paraId="0F9B9821" w14:textId="77777777" w:rsidR="00643609" w:rsidRDefault="000651AA">
      <w:pPr>
        <w:spacing w:after="0" w:line="240" w:lineRule="auto"/>
      </w:pPr>
      <w:r>
        <w:rPr>
          <w:sz w:val="20"/>
          <w:vertAlign w:val="superscript"/>
        </w:rPr>
        <w:footnoteRef/>
      </w:r>
      <w:r>
        <w:rPr>
          <w:sz w:val="20"/>
        </w:rPr>
        <w:t xml:space="preserve"> Professor colaborador Ricardo Faria C</w:t>
      </w:r>
      <w:r>
        <w:rPr>
          <w:sz w:val="20"/>
        </w:rPr>
        <w:t>orrêa (FURG-SAP). E-mail: ricardofariacorrea@furg.br</w:t>
      </w:r>
    </w:p>
  </w:footnote>
  <w:footnote w:id="12">
    <w:p w14:paraId="5F27F391" w14:textId="77777777" w:rsidR="00643609" w:rsidRDefault="000651AA">
      <w:pPr>
        <w:spacing w:after="0" w:line="240" w:lineRule="auto"/>
      </w:pPr>
      <w:r>
        <w:rPr>
          <w:sz w:val="20"/>
          <w:vertAlign w:val="superscript"/>
        </w:rPr>
        <w:footnoteRef/>
      </w:r>
      <w:r>
        <w:rPr>
          <w:sz w:val="20"/>
        </w:rPr>
        <w:t xml:space="preserve"> Profa. Dra. e orientadora na Universidade Regional do Noroeste do Estado do Rio Grande do Sul. Programa de Pós-Graduação Stricto Sensu em Desenvolvimento Regional – UNIJUÍ. Lattes: http://lattes.cnpq.b</w:t>
      </w:r>
      <w:r>
        <w:rPr>
          <w:sz w:val="20"/>
        </w:rPr>
        <w:t>r/2248109428562434</w:t>
      </w:r>
    </w:p>
  </w:footnote>
  <w:footnote w:id="13">
    <w:p w14:paraId="1AB7E9C1" w14:textId="77777777" w:rsidR="00643609" w:rsidRDefault="000651AA">
      <w:pPr>
        <w:spacing w:after="0" w:line="240" w:lineRule="auto"/>
      </w:pPr>
      <w:r>
        <w:rPr>
          <w:sz w:val="20"/>
          <w:vertAlign w:val="superscript"/>
        </w:rPr>
        <w:footnoteRef/>
      </w:r>
      <w:r>
        <w:rPr>
          <w:sz w:val="20"/>
        </w:rPr>
        <w:t xml:space="preserve"> Graduanda no Curso de Ciências Contábeis da UNIJUI, integrante do grupo de pesquisa Responsabilidade Social Corporativa, lattes:http://lattes.cnpq.br/1243611614034680</w:t>
      </w:r>
    </w:p>
  </w:footnote>
  <w:footnote w:id="14">
    <w:p w14:paraId="1C8F500E" w14:textId="77777777" w:rsidR="00643609" w:rsidRDefault="000651AA">
      <w:pPr>
        <w:spacing w:after="0" w:line="240" w:lineRule="auto"/>
      </w:pPr>
      <w:r>
        <w:rPr>
          <w:sz w:val="20"/>
          <w:vertAlign w:val="superscript"/>
        </w:rPr>
        <w:footnoteRef/>
      </w:r>
      <w:r>
        <w:rPr>
          <w:sz w:val="20"/>
        </w:rPr>
        <w:t xml:space="preserve"> Mestranda no Programa de Pós-Graduação Stricto Sensu em Desenvolvi</w:t>
      </w:r>
      <w:r>
        <w:rPr>
          <w:sz w:val="20"/>
        </w:rPr>
        <w:t>mento Regional pela Universidade Regional do Noroeste do Estado do Rio Grande do Sul – UNIJUÍ. Lattes: http://lattes.cnpq.br/9066903556726013.</w:t>
      </w:r>
    </w:p>
  </w:footnote>
  <w:footnote w:id="15">
    <w:p w14:paraId="40FEF2BE" w14:textId="77777777" w:rsidR="00643609" w:rsidRDefault="000651AA">
      <w:pPr>
        <w:spacing w:after="0" w:line="240" w:lineRule="auto"/>
      </w:pPr>
      <w:r>
        <w:rPr>
          <w:sz w:val="20"/>
          <w:vertAlign w:val="superscript"/>
        </w:rPr>
        <w:footnoteRef/>
      </w:r>
      <w:r>
        <w:rPr>
          <w:sz w:val="20"/>
        </w:rPr>
        <w:t xml:space="preserve"> Declaração de uso de IA: Este conteúdo foi elaborado por humanos com o suporte de modelos de Inteligência Artif</w:t>
      </w:r>
      <w:r>
        <w:rPr>
          <w:sz w:val="20"/>
        </w:rPr>
        <w:t>icial, utilizados exclusivamente para revisão gramatical, ajustes de clareza e coerência textual. O modelo empregado foi o GPT-5.5, desenvolvido pela OpenAI. O uso da IA foi restrito a funções auxiliares de apoio à redação, revisão textual e organização es</w:t>
      </w:r>
      <w:r>
        <w:rPr>
          <w:sz w:val="20"/>
        </w:rPr>
        <w:t>trutural do manuscrito, sem influenciar a originalidade, a autoria ou a interpretação dos dados apresentados Todo o material foi revisado e validado manualmente pelo autor, garantindo sua precisão, fidelidade à intenção original e alinhamento com os padrõe</w:t>
      </w:r>
      <w:r>
        <w:rPr>
          <w:sz w:val="20"/>
        </w:rPr>
        <w:t>s de qualidade exigidos. Nenhuma informação foi utilizada sem supervisão e verificação humana.</w:t>
      </w:r>
    </w:p>
  </w:footnote>
  <w:footnote w:id="16">
    <w:p w14:paraId="0FB32BB5" w14:textId="77777777" w:rsidR="00643609" w:rsidRDefault="000651AA">
      <w:pPr>
        <w:spacing w:after="0" w:line="240" w:lineRule="auto"/>
      </w:pPr>
      <w:r>
        <w:rPr>
          <w:sz w:val="20"/>
          <w:vertAlign w:val="superscript"/>
        </w:rPr>
        <w:footnoteRef/>
      </w:r>
      <w:r>
        <w:rPr>
          <w:sz w:val="20"/>
        </w:rPr>
        <w:t xml:space="preserve"> Graduada em Ciências Contábeis pela Universidade Federal de Juiz de Fora – Minas Gerais. E-mail : almeidaferraz@hotmail.com.</w:t>
      </w:r>
    </w:p>
  </w:footnote>
  <w:footnote w:id="17">
    <w:p w14:paraId="67A07992" w14:textId="77777777" w:rsidR="00643609" w:rsidRDefault="000651AA">
      <w:pPr>
        <w:spacing w:after="0" w:line="240" w:lineRule="auto"/>
      </w:pPr>
      <w:r>
        <w:rPr>
          <w:sz w:val="20"/>
          <w:vertAlign w:val="superscript"/>
        </w:rPr>
        <w:footnoteRef/>
      </w:r>
      <w:r>
        <w:rPr>
          <w:sz w:val="20"/>
        </w:rPr>
        <w:t xml:space="preserve"> Professor da Universidade Federa</w:t>
      </w:r>
      <w:r>
        <w:rPr>
          <w:sz w:val="20"/>
        </w:rPr>
        <w:t>l de Juiz de Fora – Minas Gerais. Doutor em Ciências Contábeis e Administração. E-mail : rodrigo.ferraz@ufjf.br.</w:t>
      </w:r>
    </w:p>
  </w:footnote>
  <w:footnote w:id="18">
    <w:p w14:paraId="1264C66F" w14:textId="77777777" w:rsidR="00643609" w:rsidRDefault="000651AA">
      <w:pPr>
        <w:spacing w:after="0" w:line="240" w:lineRule="auto"/>
      </w:pPr>
      <w:r>
        <w:rPr>
          <w:sz w:val="20"/>
          <w:vertAlign w:val="superscript"/>
        </w:rPr>
        <w:footnoteRef/>
      </w:r>
      <w:r>
        <w:rPr>
          <w:sz w:val="20"/>
        </w:rPr>
        <w:t xml:space="preserve"> Estudante do curso de Ciências Contábeis da Universidade Federal de Sergipe, campus de Itabaiana. E-mail : jose.barbosa1595@gmail.com</w:t>
      </w:r>
    </w:p>
  </w:footnote>
  <w:footnote w:id="19">
    <w:p w14:paraId="3F1D557C" w14:textId="77777777" w:rsidR="00643609" w:rsidRDefault="000651AA">
      <w:pPr>
        <w:spacing w:after="0" w:line="240" w:lineRule="auto"/>
      </w:pPr>
      <w:r>
        <w:rPr>
          <w:sz w:val="20"/>
          <w:vertAlign w:val="superscript"/>
        </w:rPr>
        <w:footnoteRef/>
      </w:r>
      <w:r>
        <w:rPr>
          <w:sz w:val="20"/>
        </w:rPr>
        <w:t xml:space="preserve"> Estud</w:t>
      </w:r>
      <w:r>
        <w:rPr>
          <w:sz w:val="20"/>
        </w:rPr>
        <w:t>ante do curso de Ciências Contábeis da Universidade Federal de Sergipe, campus de Itabaiana. E-mail : deivid_mendbarreto@hotmail.com</w:t>
      </w:r>
    </w:p>
  </w:footnote>
  <w:footnote w:id="20">
    <w:p w14:paraId="6365429F" w14:textId="77777777" w:rsidR="00643609" w:rsidRDefault="000651AA">
      <w:pPr>
        <w:spacing w:after="0" w:line="240" w:lineRule="auto"/>
      </w:pPr>
      <w:r>
        <w:rPr>
          <w:sz w:val="20"/>
          <w:vertAlign w:val="superscript"/>
        </w:rPr>
        <w:footnoteRef/>
      </w:r>
      <w:r>
        <w:rPr>
          <w:sz w:val="20"/>
        </w:rPr>
        <w:t xml:space="preserve"> Estudante do curso de Ciências Contábeis da Universidade Federal de Sergipe, campus de Itabaiana. E-mail : letyciasantosj</w:t>
      </w:r>
      <w:r>
        <w:rPr>
          <w:sz w:val="20"/>
        </w:rPr>
        <w:t>esus17@gmail.com</w:t>
      </w:r>
    </w:p>
  </w:footnote>
  <w:footnote w:id="21">
    <w:p w14:paraId="3EB9C007" w14:textId="77777777" w:rsidR="00643609" w:rsidRDefault="000651AA">
      <w:pPr>
        <w:spacing w:after="0" w:line="240" w:lineRule="auto"/>
      </w:pPr>
      <w:r>
        <w:rPr>
          <w:sz w:val="20"/>
          <w:vertAlign w:val="superscript"/>
        </w:rPr>
        <w:footnoteRef/>
      </w:r>
      <w:r>
        <w:rPr>
          <w:sz w:val="20"/>
        </w:rPr>
        <w:t xml:space="preserve"> Doutora em Educação, professora do curso de Ciências Contábeis da Universidade Federal de Sergipe, campus de Itabaiana. E-mail : profa.nadielligalvao@gmail.com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740EB" w14:textId="77777777" w:rsidR="00643609" w:rsidRDefault="00643609">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4F1D7" w14:textId="77777777" w:rsidR="00643609" w:rsidRDefault="00643609">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2C917" w14:textId="77777777" w:rsidR="00643609" w:rsidRDefault="00643609">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1E67B" w14:textId="77777777" w:rsidR="00643609" w:rsidRDefault="00643609">
    <w:pPr>
      <w:pStyle w:val="Cabealh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73484" w14:textId="77777777" w:rsidR="00643609" w:rsidRDefault="00643609">
    <w:pPr>
      <w:pStyle w:val="Cabealh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E745D" w14:textId="77777777" w:rsidR="00643609" w:rsidRDefault="00643609">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numRestart w:val="eachSec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51AA"/>
    <w:rsid w:val="0015074B"/>
    <w:rsid w:val="0029639D"/>
    <w:rsid w:val="00326F90"/>
    <w:rsid w:val="00643609"/>
    <w:rsid w:val="00AA1D8D"/>
    <w:rsid w:val="00AB5F50"/>
    <w:rsid w:val="00B47730"/>
    <w:rsid w:val="00CB0664"/>
    <w:rsid w:val="00DB153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D9F3C9"/>
  <w14:defaultImageDpi w14:val="300"/>
  <w15:docId w15:val="{7253C11C-B6A1-4DAD-B2CB-B434E6717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cs="Arial"/>
      <w:sz w:val="24"/>
      <w:lang w:val="pt-BR"/>
    </w:rPr>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eader" Target="header2.xml"/><Relationship Id="rId26" Type="http://schemas.openxmlformats.org/officeDocument/2006/relationships/header" Target="header3.xml"/><Relationship Id="rId39" Type="http://schemas.openxmlformats.org/officeDocument/2006/relationships/image" Target="media/image22.png"/><Relationship Id="rId21" Type="http://schemas.openxmlformats.org/officeDocument/2006/relationships/image" Target="media/image10.png"/><Relationship Id="rId34" Type="http://schemas.openxmlformats.org/officeDocument/2006/relationships/image" Target="media/image17.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9.png"/><Relationship Id="rId29" Type="http://schemas.openxmlformats.org/officeDocument/2006/relationships/header" Target="header4.xml"/><Relationship Id="rId41"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3.png"/><Relationship Id="rId32" Type="http://schemas.openxmlformats.org/officeDocument/2006/relationships/footer" Target="footer5.xml"/><Relationship Id="rId37" Type="http://schemas.openxmlformats.org/officeDocument/2006/relationships/image" Target="media/image20.png"/><Relationship Id="rId40"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12.png"/><Relationship Id="rId28" Type="http://schemas.openxmlformats.org/officeDocument/2006/relationships/image" Target="media/image15.png"/><Relationship Id="rId36" Type="http://schemas.openxmlformats.org/officeDocument/2006/relationships/image" Target="media/image19.png"/><Relationship Id="rId10" Type="http://schemas.openxmlformats.org/officeDocument/2006/relationships/image" Target="media/image3.png"/><Relationship Id="rId19" Type="http://schemas.openxmlformats.org/officeDocument/2006/relationships/footer" Target="footer2.xml"/><Relationship Id="rId31"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1.png"/><Relationship Id="rId27" Type="http://schemas.openxmlformats.org/officeDocument/2006/relationships/footer" Target="footer3.xml"/><Relationship Id="rId30" Type="http://schemas.openxmlformats.org/officeDocument/2006/relationships/footer" Target="footer4.xml"/><Relationship Id="rId35" Type="http://schemas.openxmlformats.org/officeDocument/2006/relationships/image" Target="media/image18.png"/><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image" Target="media/image14.png"/><Relationship Id="rId33" Type="http://schemas.openxmlformats.org/officeDocument/2006/relationships/image" Target="media/image16.png"/><Relationship Id="rId38"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136</Pages>
  <Words>45233</Words>
  <Characters>244260</Characters>
  <Application>Microsoft Office Word</Application>
  <DocSecurity>0</DocSecurity>
  <Lines>2035</Lines>
  <Paragraphs>577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288916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Camila Paviani</cp:lastModifiedBy>
  <cp:revision>3</cp:revision>
  <cp:lastPrinted>2026-10-01T20:29:00Z</cp:lastPrinted>
  <dcterms:created xsi:type="dcterms:W3CDTF">2013-12-23T23:15:00Z</dcterms:created>
  <dcterms:modified xsi:type="dcterms:W3CDTF">2026-10-01T20:45:00Z</dcterms:modified>
  <cp:category/>
</cp:coreProperties>
</file>